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B2" w:rsidRDefault="002A1EB2" w:rsidP="00B674C8">
      <w:pPr>
        <w:spacing w:after="0" w:line="240" w:lineRule="auto"/>
      </w:pPr>
      <w:bookmarkStart w:id="0" w:name="_GoBack"/>
      <w:bookmarkEnd w:id="0"/>
      <w:r>
        <w:t xml:space="preserve"> </w:t>
      </w:r>
    </w:p>
    <w:p w:rsidR="00232B1B" w:rsidRDefault="00232B1B" w:rsidP="00232B1B">
      <w:pPr>
        <w:spacing w:after="0" w:line="240" w:lineRule="auto"/>
        <w:jc w:val="center"/>
      </w:pPr>
      <w:r>
        <w:t xml:space="preserve">For the purposes of this document, the resources have been categorized into 3 categories: Planning &amp; Lessons, Opening/Warm-Up, and Student Activities. Planning &amp; Lessons refers to resources for teacher reference in standard understanding and lesson ideas. Opening/warm-up resources are used activate a lesson and encourage student to student discourse. Student activities are tasks that support students understanding and logical thinking. </w:t>
      </w:r>
    </w:p>
    <w:tbl>
      <w:tblPr>
        <w:tblStyle w:val="TableGrid"/>
        <w:tblW w:w="14387" w:type="dxa"/>
        <w:jc w:val="center"/>
        <w:tblLayout w:type="fixed"/>
        <w:tblLook w:val="04A0" w:firstRow="1" w:lastRow="0" w:firstColumn="1" w:lastColumn="0" w:noHBand="0" w:noVBand="1"/>
      </w:tblPr>
      <w:tblGrid>
        <w:gridCol w:w="1075"/>
        <w:gridCol w:w="2684"/>
        <w:gridCol w:w="1996"/>
        <w:gridCol w:w="6930"/>
        <w:gridCol w:w="540"/>
        <w:gridCol w:w="540"/>
        <w:gridCol w:w="622"/>
      </w:tblGrid>
      <w:tr w:rsidR="00322964" w:rsidTr="00245DA0">
        <w:trPr>
          <w:jc w:val="center"/>
        </w:trPr>
        <w:tc>
          <w:tcPr>
            <w:tcW w:w="1075" w:type="dxa"/>
            <w:shd w:val="clear" w:color="auto" w:fill="FFF2CC" w:themeFill="accent4" w:themeFillTint="33"/>
            <w:vAlign w:val="center"/>
          </w:tcPr>
          <w:p w:rsidR="00322964" w:rsidRPr="002A1EB2" w:rsidRDefault="00322964" w:rsidP="002A1EB2">
            <w:pPr>
              <w:jc w:val="center"/>
              <w:rPr>
                <w:b/>
              </w:rPr>
            </w:pPr>
            <w:r w:rsidRPr="002A1EB2">
              <w:rPr>
                <w:b/>
              </w:rPr>
              <w:t>Resource Category</w:t>
            </w:r>
          </w:p>
        </w:tc>
        <w:tc>
          <w:tcPr>
            <w:tcW w:w="2684" w:type="dxa"/>
            <w:shd w:val="clear" w:color="auto" w:fill="FFF2CC" w:themeFill="accent4" w:themeFillTint="33"/>
            <w:vAlign w:val="center"/>
          </w:tcPr>
          <w:p w:rsidR="00322964" w:rsidRPr="002A1EB2" w:rsidRDefault="00322964" w:rsidP="002A1EB2">
            <w:pPr>
              <w:jc w:val="center"/>
              <w:rPr>
                <w:b/>
              </w:rPr>
            </w:pPr>
            <w:r w:rsidRPr="002A1EB2">
              <w:rPr>
                <w:b/>
              </w:rPr>
              <w:t>Website</w:t>
            </w:r>
          </w:p>
        </w:tc>
        <w:tc>
          <w:tcPr>
            <w:tcW w:w="1996" w:type="dxa"/>
            <w:shd w:val="clear" w:color="auto" w:fill="FFF2CC" w:themeFill="accent4" w:themeFillTint="33"/>
            <w:vAlign w:val="center"/>
          </w:tcPr>
          <w:p w:rsidR="00322964" w:rsidRPr="002A1EB2" w:rsidRDefault="00322964" w:rsidP="002A1EB2">
            <w:pPr>
              <w:jc w:val="center"/>
              <w:rPr>
                <w:b/>
              </w:rPr>
            </w:pPr>
            <w:r w:rsidRPr="002A1EB2">
              <w:rPr>
                <w:b/>
              </w:rPr>
              <w:t>Web Address</w:t>
            </w:r>
          </w:p>
        </w:tc>
        <w:tc>
          <w:tcPr>
            <w:tcW w:w="6930" w:type="dxa"/>
            <w:shd w:val="clear" w:color="auto" w:fill="FFF2CC" w:themeFill="accent4" w:themeFillTint="33"/>
            <w:vAlign w:val="center"/>
          </w:tcPr>
          <w:p w:rsidR="00322964" w:rsidRPr="002A1EB2" w:rsidRDefault="00322964" w:rsidP="002A1EB2">
            <w:pPr>
              <w:jc w:val="center"/>
              <w:rPr>
                <w:b/>
              </w:rPr>
            </w:pPr>
            <w:r w:rsidRPr="002A1EB2">
              <w:rPr>
                <w:b/>
              </w:rPr>
              <w:t>Description</w:t>
            </w:r>
          </w:p>
        </w:tc>
        <w:tc>
          <w:tcPr>
            <w:tcW w:w="540" w:type="dxa"/>
            <w:shd w:val="clear" w:color="auto" w:fill="FFF2CC" w:themeFill="accent4" w:themeFillTint="33"/>
            <w:vAlign w:val="center"/>
          </w:tcPr>
          <w:p w:rsidR="00322964" w:rsidRPr="002A1EB2" w:rsidRDefault="00322964" w:rsidP="002A1EB2">
            <w:pPr>
              <w:jc w:val="center"/>
              <w:rPr>
                <w:b/>
              </w:rPr>
            </w:pPr>
            <w:r w:rsidRPr="002A1EB2">
              <w:rPr>
                <w:b/>
              </w:rPr>
              <w:t>K-5</w:t>
            </w:r>
          </w:p>
        </w:tc>
        <w:tc>
          <w:tcPr>
            <w:tcW w:w="540" w:type="dxa"/>
            <w:shd w:val="clear" w:color="auto" w:fill="FFF2CC" w:themeFill="accent4" w:themeFillTint="33"/>
            <w:vAlign w:val="center"/>
          </w:tcPr>
          <w:p w:rsidR="00322964" w:rsidRPr="002A1EB2" w:rsidRDefault="00322964" w:rsidP="002A1EB2">
            <w:pPr>
              <w:jc w:val="center"/>
              <w:rPr>
                <w:b/>
              </w:rPr>
            </w:pPr>
            <w:r w:rsidRPr="002A1EB2">
              <w:rPr>
                <w:b/>
              </w:rPr>
              <w:t>6-8</w:t>
            </w:r>
          </w:p>
        </w:tc>
        <w:tc>
          <w:tcPr>
            <w:tcW w:w="622" w:type="dxa"/>
            <w:shd w:val="clear" w:color="auto" w:fill="FFF2CC" w:themeFill="accent4" w:themeFillTint="33"/>
            <w:vAlign w:val="center"/>
          </w:tcPr>
          <w:p w:rsidR="00322964" w:rsidRPr="002A1EB2" w:rsidRDefault="00322964" w:rsidP="002A1EB2">
            <w:pPr>
              <w:jc w:val="center"/>
              <w:rPr>
                <w:b/>
              </w:rPr>
            </w:pPr>
            <w:r w:rsidRPr="002A1EB2">
              <w:rPr>
                <w:b/>
              </w:rPr>
              <w:t>9-12</w:t>
            </w:r>
          </w:p>
        </w:tc>
      </w:tr>
      <w:tr w:rsidR="00C64E06" w:rsidTr="00B862EF">
        <w:trPr>
          <w:cantSplit/>
          <w:trHeight w:val="1134"/>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rPr>
            </w:pPr>
            <w:r>
              <w:rPr>
                <w:b/>
              </w:rPr>
              <w:t>3 Act Tasks</w:t>
            </w:r>
          </w:p>
        </w:tc>
        <w:tc>
          <w:tcPr>
            <w:tcW w:w="1996" w:type="dxa"/>
            <w:vAlign w:val="center"/>
          </w:tcPr>
          <w:p w:rsidR="00C64E06" w:rsidRPr="00BB2E97" w:rsidRDefault="00BB2E97" w:rsidP="00C64E06">
            <w:pPr>
              <w:jc w:val="center"/>
            </w:pPr>
            <w:r>
              <w:t>(</w:t>
            </w:r>
            <w:r w:rsidRPr="00BB2E97">
              <w:t>See Description</w:t>
            </w:r>
            <w:r>
              <w:t>)</w:t>
            </w:r>
          </w:p>
        </w:tc>
        <w:tc>
          <w:tcPr>
            <w:tcW w:w="6930" w:type="dxa"/>
            <w:vAlign w:val="center"/>
          </w:tcPr>
          <w:p w:rsidR="00C64E06" w:rsidRDefault="00C64E06" w:rsidP="00C64E06">
            <w:pPr>
              <w:jc w:val="center"/>
            </w:pPr>
            <w:r>
              <w:t>3 Act Tasks are engaging, student-centered lessons in which students build the need to engage in mathematics discourse to solve a question that they a curious about. This is done in 3 parts: Act 1- get the students interested and identifying the question they want to answer, Act 2- students struggle and the teacher provides with some additional information that regenerates their thinking, Act 3- students share their thinking and see the big reveal (which often fuels more questions and additional math thinking). Where to find these lessons:</w:t>
            </w:r>
          </w:p>
          <w:p w:rsidR="00BB2E97" w:rsidRDefault="00C64E06" w:rsidP="00BB2E97">
            <w:pPr>
              <w:pStyle w:val="ListParagraph"/>
              <w:numPr>
                <w:ilvl w:val="0"/>
                <w:numId w:val="2"/>
              </w:numPr>
            </w:pPr>
            <w:r>
              <w:t xml:space="preserve">Andres </w:t>
            </w:r>
            <w:proofErr w:type="spellStart"/>
            <w:r>
              <w:t>Stadel’s</w:t>
            </w:r>
            <w:proofErr w:type="spellEnd"/>
            <w:r>
              <w:t xml:space="preserve"> site (4-8): </w:t>
            </w:r>
          </w:p>
          <w:p w:rsidR="00C64E06" w:rsidRDefault="007A7E53" w:rsidP="00BB2E97">
            <w:pPr>
              <w:pStyle w:val="ListParagraph"/>
            </w:pPr>
            <w:hyperlink r:id="rId8" w:history="1">
              <w:r w:rsidR="00C64E06" w:rsidRPr="004C22F8">
                <w:rPr>
                  <w:rStyle w:val="Hyperlink"/>
                </w:rPr>
                <w:t>http://www.estimation180.com/lessons.html</w:t>
              </w:r>
            </w:hyperlink>
            <w:r w:rsidR="00C64E06">
              <w:t xml:space="preserve"> </w:t>
            </w:r>
          </w:p>
          <w:p w:rsidR="00BB2E97" w:rsidRDefault="00C64E06" w:rsidP="00BB2E97">
            <w:pPr>
              <w:pStyle w:val="ListParagraph"/>
              <w:numPr>
                <w:ilvl w:val="0"/>
                <w:numId w:val="2"/>
              </w:numPr>
            </w:pPr>
            <w:r>
              <w:t xml:space="preserve">Dan Meyer’s site (6-12): </w:t>
            </w:r>
          </w:p>
          <w:p w:rsidR="00C64E06" w:rsidRPr="00C64E06" w:rsidRDefault="007A7E53" w:rsidP="00BB2E97">
            <w:pPr>
              <w:pStyle w:val="ListParagraph"/>
            </w:pPr>
            <w:hyperlink r:id="rId9" w:anchor="gid=0" w:history="1">
              <w:r w:rsidR="00C64E06" w:rsidRPr="004C22F8">
                <w:rPr>
                  <w:rStyle w:val="Hyperlink"/>
                </w:rPr>
                <w:t>https://docs.google.com/spreadsheets/d/1jXSt_CoDzyDFeJimZxnhgwOVsWkTQEsfqouLWNNC6Z4/edit#gid=0</w:t>
              </w:r>
            </w:hyperlink>
            <w:r w:rsidR="00C64E06">
              <w:t xml:space="preserve">  </w:t>
            </w:r>
          </w:p>
          <w:p w:rsidR="00C64E06" w:rsidRDefault="00C64E06" w:rsidP="00BB2E97">
            <w:pPr>
              <w:pStyle w:val="ListParagraph"/>
              <w:numPr>
                <w:ilvl w:val="0"/>
                <w:numId w:val="2"/>
              </w:numPr>
            </w:pPr>
            <w:r>
              <w:t xml:space="preserve">Graham Fletcher’s site (K-7): </w:t>
            </w:r>
            <w:hyperlink r:id="rId10" w:history="1">
              <w:r w:rsidRPr="004C22F8">
                <w:rPr>
                  <w:rStyle w:val="Hyperlink"/>
                </w:rPr>
                <w:t>https://gfletchy.com/3-act-lessons/</w:t>
              </w:r>
            </w:hyperlink>
            <w:r>
              <w:t xml:space="preserve"> </w:t>
            </w:r>
          </w:p>
          <w:p w:rsidR="00C64E06" w:rsidRDefault="00C64E06" w:rsidP="00BB2E97">
            <w:pPr>
              <w:pStyle w:val="ListParagraph"/>
              <w:numPr>
                <w:ilvl w:val="0"/>
                <w:numId w:val="2"/>
              </w:numPr>
            </w:pPr>
            <w:r>
              <w:t xml:space="preserve">Mike </w:t>
            </w:r>
            <w:proofErr w:type="spellStart"/>
            <w:r>
              <w:t>Wiernicki’s</w:t>
            </w:r>
            <w:proofErr w:type="spellEnd"/>
            <w:r>
              <w:t xml:space="preserve"> site (K-8): </w:t>
            </w:r>
            <w:hyperlink r:id="rId11" w:history="1">
              <w:r w:rsidRPr="004C22F8">
                <w:rPr>
                  <w:rStyle w:val="Hyperlink"/>
                </w:rPr>
                <w:t>https://mikewiernicki.com/3-act-tasks/</w:t>
              </w:r>
            </w:hyperlink>
            <w:r>
              <w:t xml:space="preserve"> </w:t>
            </w:r>
          </w:p>
          <w:p w:rsidR="00C64E06" w:rsidRPr="00C64E06" w:rsidRDefault="00C64E06" w:rsidP="00BB2E97">
            <w:pPr>
              <w:pStyle w:val="ListParagraph"/>
              <w:numPr>
                <w:ilvl w:val="0"/>
                <w:numId w:val="2"/>
              </w:numPr>
            </w:pPr>
            <w:r>
              <w:t xml:space="preserve">Robert </w:t>
            </w:r>
            <w:proofErr w:type="spellStart"/>
            <w:r>
              <w:t>Kaplinsky’s</w:t>
            </w:r>
            <w:proofErr w:type="spellEnd"/>
            <w:r>
              <w:t xml:space="preserve"> site (K-12): </w:t>
            </w:r>
            <w:hyperlink r:id="rId12" w:history="1">
              <w:r w:rsidRPr="004C22F8">
                <w:rPr>
                  <w:rStyle w:val="Hyperlink"/>
                </w:rPr>
                <w:t>http://robertkaplinsky.com/lessons/</w:t>
              </w:r>
            </w:hyperlink>
            <w:r>
              <w:t xml:space="preserve"> </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r w:rsidRPr="008836CE">
              <w:rPr>
                <w:sz w:val="48"/>
              </w:rPr>
              <w:sym w:font="Wingdings" w:char="F0FC"/>
            </w:r>
          </w:p>
        </w:tc>
      </w:tr>
      <w:tr w:rsidR="00C64E06" w:rsidTr="00B674C8">
        <w:trPr>
          <w:cantSplit/>
          <w:trHeight w:val="1151"/>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sz w:val="24"/>
              </w:rPr>
            </w:pPr>
            <w:r w:rsidRPr="002A1EB2">
              <w:rPr>
                <w:b/>
                <w:sz w:val="24"/>
              </w:rPr>
              <w:t>Coherence Map</w:t>
            </w:r>
            <w:r>
              <w:rPr>
                <w:b/>
                <w:sz w:val="24"/>
              </w:rPr>
              <w:t>s</w:t>
            </w:r>
          </w:p>
        </w:tc>
        <w:tc>
          <w:tcPr>
            <w:tcW w:w="1996" w:type="dxa"/>
            <w:vAlign w:val="center"/>
          </w:tcPr>
          <w:p w:rsidR="00C64E06" w:rsidRPr="009E3481" w:rsidRDefault="007A7E53" w:rsidP="00C64E06">
            <w:pPr>
              <w:jc w:val="center"/>
              <w:rPr>
                <w:color w:val="00B0F0"/>
              </w:rPr>
            </w:pPr>
            <w:hyperlink r:id="rId13" w:history="1">
              <w:r w:rsidR="009E3481" w:rsidRPr="004C22F8">
                <w:rPr>
                  <w:rStyle w:val="Hyperlink"/>
                </w:rPr>
                <w:t>https://achievethecore.org/page/1118/coherence-map</w:t>
              </w:r>
            </w:hyperlink>
            <w:r w:rsidR="009E3481">
              <w:t xml:space="preserve"> </w:t>
            </w:r>
          </w:p>
        </w:tc>
        <w:tc>
          <w:tcPr>
            <w:tcW w:w="6930" w:type="dxa"/>
            <w:vAlign w:val="center"/>
          </w:tcPr>
          <w:p w:rsidR="00C64E06" w:rsidRDefault="00C64E06" w:rsidP="00C64E06">
            <w:pPr>
              <w:jc w:val="center"/>
            </w:pPr>
            <w:r>
              <w:t>Achieve the Core has built a web of how the math standards are interconnected. This resource will visible connect the standard with the prerequisite understandings needed and future standards that will be built. This site will also provide you with tasks and Smarter Balance items.</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p>
        </w:tc>
      </w:tr>
      <w:tr w:rsidR="00C64E06" w:rsidTr="00B674C8">
        <w:trPr>
          <w:cantSplit/>
          <w:trHeight w:val="1134"/>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sz w:val="24"/>
              </w:rPr>
            </w:pPr>
            <w:r w:rsidRPr="002A1EB2">
              <w:rPr>
                <w:b/>
                <w:sz w:val="24"/>
              </w:rPr>
              <w:t>Georgia Frameworks and Resources</w:t>
            </w:r>
          </w:p>
        </w:tc>
        <w:tc>
          <w:tcPr>
            <w:tcW w:w="1996" w:type="dxa"/>
            <w:vAlign w:val="center"/>
          </w:tcPr>
          <w:p w:rsidR="00C64E06" w:rsidRDefault="007A7E53" w:rsidP="00C64E06">
            <w:pPr>
              <w:jc w:val="center"/>
            </w:pPr>
            <w:hyperlink r:id="rId14" w:history="1">
              <w:r w:rsidR="00C64E06" w:rsidRPr="004C22F8">
                <w:rPr>
                  <w:rStyle w:val="Hyperlink"/>
                </w:rPr>
                <w:t>https://www.georgiastandards.org/Georgia-Standards/Pages/Math.aspx</w:t>
              </w:r>
            </w:hyperlink>
          </w:p>
        </w:tc>
        <w:tc>
          <w:tcPr>
            <w:tcW w:w="6930" w:type="dxa"/>
            <w:vAlign w:val="center"/>
          </w:tcPr>
          <w:p w:rsidR="00C64E06" w:rsidRDefault="00C64E06" w:rsidP="00C64E06">
            <w:pPr>
              <w:jc w:val="center"/>
            </w:pPr>
            <w:r>
              <w:t xml:space="preserve">This link is the main page for the </w:t>
            </w:r>
            <w:proofErr w:type="spellStart"/>
            <w:r>
              <w:t>GaDOE</w:t>
            </w:r>
            <w:proofErr w:type="spellEnd"/>
            <w:r>
              <w:t xml:space="preserve"> Georgia Frameworks. From this you will need to select your grade band: K-5, 6-8, or 9-12. Once you select the appropriate grade band you will have access to the frameworks, links to videos of instruction of your appropriate standards and professional development.</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r w:rsidRPr="008836CE">
              <w:rPr>
                <w:sz w:val="48"/>
              </w:rPr>
              <w:sym w:font="Wingdings" w:char="F0FC"/>
            </w:r>
          </w:p>
        </w:tc>
      </w:tr>
      <w:tr w:rsidR="00C64E06" w:rsidTr="00B674C8">
        <w:trPr>
          <w:cantSplit/>
          <w:trHeight w:val="1160"/>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sz w:val="24"/>
              </w:rPr>
            </w:pPr>
            <w:r w:rsidRPr="002A1EB2">
              <w:rPr>
                <w:b/>
                <w:sz w:val="24"/>
              </w:rPr>
              <w:t>Howard County Public School System Offices of Mathematics</w:t>
            </w:r>
          </w:p>
        </w:tc>
        <w:tc>
          <w:tcPr>
            <w:tcW w:w="1996" w:type="dxa"/>
            <w:vAlign w:val="center"/>
          </w:tcPr>
          <w:p w:rsidR="00C64E06" w:rsidRDefault="007A7E53" w:rsidP="00C64E06">
            <w:pPr>
              <w:jc w:val="center"/>
            </w:pPr>
            <w:hyperlink r:id="rId15" w:history="1">
              <w:r w:rsidR="00C64E06" w:rsidRPr="007B2E1B">
                <w:rPr>
                  <w:rStyle w:val="Hyperlink"/>
                </w:rPr>
                <w:t>https://hcpss.instructure.com/courses/1609</w:t>
              </w:r>
            </w:hyperlink>
          </w:p>
        </w:tc>
        <w:tc>
          <w:tcPr>
            <w:tcW w:w="6930" w:type="dxa"/>
            <w:vAlign w:val="center"/>
          </w:tcPr>
          <w:p w:rsidR="00C64E06" w:rsidRDefault="00C64E06" w:rsidP="00C64E06">
            <w:pPr>
              <w:jc w:val="center"/>
            </w:pPr>
            <w:r>
              <w:t xml:space="preserve">This website is a “one stop shop” for mathematical resources at all grade levels. It provides the teacher with unpacked standards, conversation prompts, learning targets, literature connections, resources, and student-centered stations (including </w:t>
            </w:r>
            <w:r w:rsidR="00C677FD">
              <w:t>web links</w:t>
            </w:r>
            <w:r>
              <w:t>).</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r w:rsidRPr="008836CE">
              <w:rPr>
                <w:sz w:val="48"/>
              </w:rPr>
              <w:sym w:font="Wingdings" w:char="F0FC"/>
            </w:r>
          </w:p>
        </w:tc>
      </w:tr>
      <w:tr w:rsidR="00245DA0" w:rsidTr="00245DA0">
        <w:trPr>
          <w:cantSplit/>
          <w:trHeight w:val="269"/>
          <w:jc w:val="center"/>
        </w:trPr>
        <w:tc>
          <w:tcPr>
            <w:tcW w:w="1075" w:type="dxa"/>
            <w:shd w:val="clear" w:color="auto" w:fill="FFF2CC" w:themeFill="accent4" w:themeFillTint="33"/>
            <w:vAlign w:val="center"/>
          </w:tcPr>
          <w:p w:rsidR="00245DA0" w:rsidRPr="002A1EB2" w:rsidRDefault="00245DA0" w:rsidP="00245DA0">
            <w:pPr>
              <w:jc w:val="center"/>
              <w:rPr>
                <w:b/>
              </w:rPr>
            </w:pPr>
            <w:r w:rsidRPr="002A1EB2">
              <w:rPr>
                <w:b/>
              </w:rPr>
              <w:lastRenderedPageBreak/>
              <w:t>Resource Category</w:t>
            </w:r>
          </w:p>
        </w:tc>
        <w:tc>
          <w:tcPr>
            <w:tcW w:w="2684" w:type="dxa"/>
            <w:shd w:val="clear" w:color="auto" w:fill="FFF2CC" w:themeFill="accent4" w:themeFillTint="33"/>
            <w:vAlign w:val="center"/>
          </w:tcPr>
          <w:p w:rsidR="00245DA0" w:rsidRPr="002A1EB2" w:rsidRDefault="00245DA0" w:rsidP="00245DA0">
            <w:pPr>
              <w:jc w:val="center"/>
              <w:rPr>
                <w:b/>
              </w:rPr>
            </w:pPr>
            <w:r w:rsidRPr="002A1EB2">
              <w:rPr>
                <w:b/>
              </w:rPr>
              <w:t>Website</w:t>
            </w:r>
          </w:p>
        </w:tc>
        <w:tc>
          <w:tcPr>
            <w:tcW w:w="1996" w:type="dxa"/>
            <w:shd w:val="clear" w:color="auto" w:fill="FFF2CC" w:themeFill="accent4" w:themeFillTint="33"/>
            <w:vAlign w:val="center"/>
          </w:tcPr>
          <w:p w:rsidR="00245DA0" w:rsidRPr="002A1EB2" w:rsidRDefault="00245DA0" w:rsidP="00245DA0">
            <w:pPr>
              <w:jc w:val="center"/>
              <w:rPr>
                <w:b/>
              </w:rPr>
            </w:pPr>
            <w:r w:rsidRPr="002A1EB2">
              <w:rPr>
                <w:b/>
              </w:rPr>
              <w:t>Web Address</w:t>
            </w:r>
          </w:p>
        </w:tc>
        <w:tc>
          <w:tcPr>
            <w:tcW w:w="6930" w:type="dxa"/>
            <w:shd w:val="clear" w:color="auto" w:fill="FFF2CC" w:themeFill="accent4" w:themeFillTint="33"/>
            <w:vAlign w:val="center"/>
          </w:tcPr>
          <w:p w:rsidR="00245DA0" w:rsidRPr="002A1EB2" w:rsidRDefault="00245DA0" w:rsidP="00245DA0">
            <w:pPr>
              <w:jc w:val="center"/>
              <w:rPr>
                <w:b/>
              </w:rPr>
            </w:pPr>
            <w:r w:rsidRPr="002A1EB2">
              <w:rPr>
                <w:b/>
              </w:rPr>
              <w:t>Description</w:t>
            </w:r>
          </w:p>
        </w:tc>
        <w:tc>
          <w:tcPr>
            <w:tcW w:w="540" w:type="dxa"/>
            <w:shd w:val="clear" w:color="auto" w:fill="FFF2CC" w:themeFill="accent4" w:themeFillTint="33"/>
            <w:vAlign w:val="center"/>
          </w:tcPr>
          <w:p w:rsidR="00245DA0" w:rsidRPr="002A1EB2" w:rsidRDefault="00245DA0" w:rsidP="00245DA0">
            <w:pPr>
              <w:jc w:val="center"/>
              <w:rPr>
                <w:b/>
              </w:rPr>
            </w:pPr>
            <w:r w:rsidRPr="002A1EB2">
              <w:rPr>
                <w:b/>
              </w:rPr>
              <w:t>K-5</w:t>
            </w:r>
          </w:p>
        </w:tc>
        <w:tc>
          <w:tcPr>
            <w:tcW w:w="540" w:type="dxa"/>
            <w:shd w:val="clear" w:color="auto" w:fill="FFF2CC" w:themeFill="accent4" w:themeFillTint="33"/>
            <w:vAlign w:val="center"/>
          </w:tcPr>
          <w:p w:rsidR="00245DA0" w:rsidRPr="002A1EB2" w:rsidRDefault="00245DA0" w:rsidP="00245DA0">
            <w:pPr>
              <w:jc w:val="center"/>
              <w:rPr>
                <w:b/>
              </w:rPr>
            </w:pPr>
            <w:r w:rsidRPr="002A1EB2">
              <w:rPr>
                <w:b/>
              </w:rPr>
              <w:t>6-8</w:t>
            </w:r>
          </w:p>
        </w:tc>
        <w:tc>
          <w:tcPr>
            <w:tcW w:w="622" w:type="dxa"/>
            <w:shd w:val="clear" w:color="auto" w:fill="FFF2CC" w:themeFill="accent4" w:themeFillTint="33"/>
            <w:vAlign w:val="center"/>
          </w:tcPr>
          <w:p w:rsidR="00245DA0" w:rsidRPr="002A1EB2" w:rsidRDefault="00245DA0" w:rsidP="00245DA0">
            <w:pPr>
              <w:jc w:val="center"/>
              <w:rPr>
                <w:b/>
              </w:rPr>
            </w:pPr>
            <w:r w:rsidRPr="002A1EB2">
              <w:rPr>
                <w:b/>
              </w:rPr>
              <w:t>9-12</w:t>
            </w:r>
          </w:p>
        </w:tc>
      </w:tr>
      <w:tr w:rsidR="00C64E06" w:rsidTr="00B674C8">
        <w:trPr>
          <w:cantSplit/>
          <w:trHeight w:val="1160"/>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sz w:val="24"/>
              </w:rPr>
            </w:pPr>
            <w:r w:rsidRPr="002A1EB2">
              <w:rPr>
                <w:b/>
                <w:sz w:val="24"/>
              </w:rPr>
              <w:t>Illustrative Mathematics</w:t>
            </w:r>
          </w:p>
        </w:tc>
        <w:tc>
          <w:tcPr>
            <w:tcW w:w="1996" w:type="dxa"/>
            <w:vAlign w:val="center"/>
          </w:tcPr>
          <w:p w:rsidR="00C64E06" w:rsidRDefault="007A7E53" w:rsidP="00C64E06">
            <w:pPr>
              <w:jc w:val="center"/>
            </w:pPr>
            <w:hyperlink r:id="rId16" w:history="1">
              <w:r w:rsidR="00C64E06" w:rsidRPr="007B2E1B">
                <w:rPr>
                  <w:rStyle w:val="Hyperlink"/>
                </w:rPr>
                <w:t>https://www.illustrativemathematics.org/</w:t>
              </w:r>
            </w:hyperlink>
          </w:p>
        </w:tc>
        <w:tc>
          <w:tcPr>
            <w:tcW w:w="6930" w:type="dxa"/>
            <w:vAlign w:val="center"/>
          </w:tcPr>
          <w:p w:rsidR="00C64E06" w:rsidRDefault="00C64E06" w:rsidP="00C64E06">
            <w:pPr>
              <w:jc w:val="center"/>
            </w:pPr>
            <w:r>
              <w:t>Once you select the appropriate standard, it will provide you with tasks aligned to that standard including commentary. These tasks will need to be printed but they are organized so that they are easily retrieved.</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r w:rsidRPr="008836CE">
              <w:rPr>
                <w:sz w:val="48"/>
              </w:rPr>
              <w:sym w:font="Wingdings" w:char="F0FC"/>
            </w:r>
          </w:p>
        </w:tc>
      </w:tr>
      <w:tr w:rsidR="00C64E06" w:rsidTr="00B674C8">
        <w:trPr>
          <w:cantSplit/>
          <w:trHeight w:val="1134"/>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sz w:val="24"/>
              </w:rPr>
            </w:pPr>
            <w:r w:rsidRPr="002A1EB2">
              <w:rPr>
                <w:b/>
                <w:sz w:val="24"/>
              </w:rPr>
              <w:t>Implementing the Mathematical Practice Standards</w:t>
            </w:r>
          </w:p>
        </w:tc>
        <w:tc>
          <w:tcPr>
            <w:tcW w:w="1996" w:type="dxa"/>
            <w:vAlign w:val="center"/>
          </w:tcPr>
          <w:p w:rsidR="00C64E06" w:rsidRDefault="007A7E53" w:rsidP="00C64E06">
            <w:pPr>
              <w:jc w:val="center"/>
            </w:pPr>
            <w:hyperlink r:id="rId17" w:history="1">
              <w:r w:rsidR="00C64E06" w:rsidRPr="007B2E1B">
                <w:rPr>
                  <w:rStyle w:val="Hyperlink"/>
                </w:rPr>
                <w:t>http://mathpractices.edc.org/browse-by-mps.html</w:t>
              </w:r>
            </w:hyperlink>
          </w:p>
        </w:tc>
        <w:tc>
          <w:tcPr>
            <w:tcW w:w="6930" w:type="dxa"/>
            <w:vAlign w:val="center"/>
          </w:tcPr>
          <w:p w:rsidR="00C64E06" w:rsidRDefault="00C64E06" w:rsidP="00C64E06">
            <w:pPr>
              <w:jc w:val="center"/>
            </w:pPr>
            <w:r>
              <w:t>This website provides a variety of activities organized by Standard for Mathematical Practice (SMP). These activities will need to be printed for student use, but includes the entire lesson plan including example student dialogue to showcase the appropriate SMO. These are geared towards Middle and High School and upper Elementary.</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r w:rsidRPr="008836CE">
              <w:rPr>
                <w:sz w:val="48"/>
              </w:rPr>
              <w:sym w:font="Wingdings" w:char="F0FC"/>
            </w:r>
          </w:p>
        </w:tc>
      </w:tr>
      <w:tr w:rsidR="00C64E06" w:rsidTr="00B674C8">
        <w:trPr>
          <w:cantSplit/>
          <w:trHeight w:val="1223"/>
          <w:jc w:val="center"/>
        </w:trPr>
        <w:tc>
          <w:tcPr>
            <w:tcW w:w="1075" w:type="dxa"/>
            <w:shd w:val="clear" w:color="auto" w:fill="99FFCC"/>
            <w:textDirection w:val="btLr"/>
            <w:vAlign w:val="center"/>
          </w:tcPr>
          <w:p w:rsidR="00C64E06" w:rsidRPr="002A1EB2" w:rsidRDefault="00C64E06" w:rsidP="00C64E06">
            <w:pPr>
              <w:ind w:left="113" w:right="113"/>
              <w:jc w:val="center"/>
              <w:rPr>
                <w:b/>
              </w:rPr>
            </w:pPr>
            <w:r w:rsidRPr="002A1EB2">
              <w:rPr>
                <w:b/>
              </w:rPr>
              <w:t>Planning &amp; Lessons</w:t>
            </w:r>
          </w:p>
        </w:tc>
        <w:tc>
          <w:tcPr>
            <w:tcW w:w="2684" w:type="dxa"/>
            <w:vAlign w:val="center"/>
          </w:tcPr>
          <w:p w:rsidR="00C64E06" w:rsidRPr="002A1EB2" w:rsidRDefault="00C64E06" w:rsidP="00C64E06">
            <w:pPr>
              <w:jc w:val="center"/>
              <w:rPr>
                <w:b/>
                <w:sz w:val="24"/>
              </w:rPr>
            </w:pPr>
            <w:r w:rsidRPr="002A1EB2">
              <w:rPr>
                <w:b/>
                <w:sz w:val="24"/>
              </w:rPr>
              <w:t>Howard County Public School System</w:t>
            </w:r>
          </w:p>
          <w:p w:rsidR="00C64E06" w:rsidRPr="002A1EB2" w:rsidRDefault="00C64E06" w:rsidP="00C64E06">
            <w:pPr>
              <w:jc w:val="center"/>
              <w:rPr>
                <w:b/>
                <w:sz w:val="24"/>
              </w:rPr>
            </w:pPr>
            <w:r w:rsidRPr="002A1EB2">
              <w:rPr>
                <w:b/>
                <w:sz w:val="24"/>
              </w:rPr>
              <w:t>Offices of Mathematics</w:t>
            </w:r>
          </w:p>
        </w:tc>
        <w:tc>
          <w:tcPr>
            <w:tcW w:w="1996" w:type="dxa"/>
            <w:vAlign w:val="center"/>
          </w:tcPr>
          <w:p w:rsidR="00C64E06" w:rsidRDefault="007A7E53" w:rsidP="00C64E06">
            <w:pPr>
              <w:jc w:val="center"/>
            </w:pPr>
            <w:hyperlink r:id="rId18" w:history="1">
              <w:r w:rsidR="00C64E06" w:rsidRPr="007B2E1B">
                <w:rPr>
                  <w:rStyle w:val="Hyperlink"/>
                </w:rPr>
                <w:t>https://hcpss.instructure.com/courses/1609</w:t>
              </w:r>
            </w:hyperlink>
          </w:p>
        </w:tc>
        <w:tc>
          <w:tcPr>
            <w:tcW w:w="6930" w:type="dxa"/>
            <w:vAlign w:val="center"/>
          </w:tcPr>
          <w:p w:rsidR="00C64E06" w:rsidRDefault="00C64E06" w:rsidP="00C64E06">
            <w:pPr>
              <w:jc w:val="center"/>
            </w:pPr>
            <w:r>
              <w:t xml:space="preserve">This website is a “one stop shop” for mathematical resources at all grade levels. It provides the teacher with unpacked standards, conversation prompts, learning targets, literature connections, resources, and student-centered stations (including </w:t>
            </w:r>
            <w:proofErr w:type="spellStart"/>
            <w:r>
              <w:t>weblinks</w:t>
            </w:r>
            <w:proofErr w:type="spellEnd"/>
            <w:r>
              <w:t>).</w:t>
            </w:r>
          </w:p>
        </w:tc>
        <w:tc>
          <w:tcPr>
            <w:tcW w:w="540" w:type="dxa"/>
            <w:vAlign w:val="center"/>
          </w:tcPr>
          <w:p w:rsidR="00C64E06" w:rsidRDefault="00C64E06" w:rsidP="00C64E06">
            <w:pPr>
              <w:jc w:val="center"/>
            </w:pPr>
            <w:r w:rsidRPr="008836CE">
              <w:rPr>
                <w:sz w:val="48"/>
              </w:rPr>
              <w:sym w:font="Wingdings" w:char="F0FC"/>
            </w:r>
          </w:p>
        </w:tc>
        <w:tc>
          <w:tcPr>
            <w:tcW w:w="540" w:type="dxa"/>
            <w:vAlign w:val="center"/>
          </w:tcPr>
          <w:p w:rsidR="00C64E06" w:rsidRDefault="00C64E06" w:rsidP="00C64E06">
            <w:pPr>
              <w:jc w:val="center"/>
            </w:pPr>
            <w:r w:rsidRPr="008836CE">
              <w:rPr>
                <w:sz w:val="48"/>
              </w:rPr>
              <w:sym w:font="Wingdings" w:char="F0FC"/>
            </w:r>
          </w:p>
        </w:tc>
        <w:tc>
          <w:tcPr>
            <w:tcW w:w="622" w:type="dxa"/>
            <w:vAlign w:val="center"/>
          </w:tcPr>
          <w:p w:rsidR="00C64E06" w:rsidRDefault="00C64E06" w:rsidP="00C64E06">
            <w:pPr>
              <w:jc w:val="center"/>
            </w:pPr>
            <w:r w:rsidRPr="008836CE">
              <w:rPr>
                <w:sz w:val="48"/>
              </w:rPr>
              <w:sym w:font="Wingdings" w:char="F0FC"/>
            </w:r>
          </w:p>
        </w:tc>
      </w:tr>
      <w:tr w:rsidR="00DD291D" w:rsidTr="00B674C8">
        <w:trPr>
          <w:cantSplit/>
          <w:trHeight w:val="1223"/>
          <w:jc w:val="center"/>
        </w:trPr>
        <w:tc>
          <w:tcPr>
            <w:tcW w:w="1075" w:type="dxa"/>
            <w:shd w:val="clear" w:color="auto" w:fill="99FFCC"/>
            <w:textDirection w:val="btLr"/>
            <w:vAlign w:val="center"/>
          </w:tcPr>
          <w:p w:rsidR="00DD291D" w:rsidRPr="002A1EB2" w:rsidRDefault="00DD291D" w:rsidP="00DD291D">
            <w:pPr>
              <w:ind w:left="113" w:right="113"/>
              <w:jc w:val="center"/>
              <w:rPr>
                <w:b/>
              </w:rPr>
            </w:pPr>
            <w:r w:rsidRPr="002A1EB2">
              <w:rPr>
                <w:b/>
              </w:rPr>
              <w:t>Planning &amp; Lessons</w:t>
            </w:r>
          </w:p>
        </w:tc>
        <w:tc>
          <w:tcPr>
            <w:tcW w:w="2684" w:type="dxa"/>
            <w:vAlign w:val="center"/>
          </w:tcPr>
          <w:p w:rsidR="00DD291D" w:rsidRPr="002A1EB2" w:rsidRDefault="00DD291D" w:rsidP="00DD291D">
            <w:pPr>
              <w:jc w:val="center"/>
              <w:rPr>
                <w:b/>
                <w:sz w:val="24"/>
              </w:rPr>
            </w:pPr>
            <w:r>
              <w:rPr>
                <w:b/>
                <w:sz w:val="24"/>
              </w:rPr>
              <w:t>Progression Documents</w:t>
            </w:r>
          </w:p>
        </w:tc>
        <w:tc>
          <w:tcPr>
            <w:tcW w:w="1996" w:type="dxa"/>
            <w:vAlign w:val="center"/>
          </w:tcPr>
          <w:p w:rsidR="00DD291D" w:rsidRDefault="007A7E53" w:rsidP="00DD291D">
            <w:pPr>
              <w:jc w:val="center"/>
            </w:pPr>
            <w:hyperlink r:id="rId19" w:anchor="products" w:history="1">
              <w:r w:rsidR="00DD291D" w:rsidRPr="004C22F8">
                <w:rPr>
                  <w:rStyle w:val="Hyperlink"/>
                </w:rPr>
                <w:t>http://ime.math.arizona.edu/progressions/#products</w:t>
              </w:r>
            </w:hyperlink>
            <w:r w:rsidR="00DD291D">
              <w:t xml:space="preserve"> </w:t>
            </w:r>
          </w:p>
        </w:tc>
        <w:tc>
          <w:tcPr>
            <w:tcW w:w="6930" w:type="dxa"/>
            <w:vAlign w:val="center"/>
          </w:tcPr>
          <w:p w:rsidR="00DD291D" w:rsidRDefault="00DD291D" w:rsidP="00DD291D">
            <w:pPr>
              <w:jc w:val="center"/>
            </w:pPr>
            <w:r>
              <w:rPr>
                <w:rFonts w:ascii="Verdana" w:hAnsi="Verdana"/>
                <w:color w:val="000000"/>
                <w:sz w:val="17"/>
                <w:szCs w:val="17"/>
                <w:shd w:val="clear" w:color="auto" w:fill="FFFFFF"/>
              </w:rPr>
              <w:t> </w:t>
            </w:r>
            <w:r>
              <w:rPr>
                <w:rFonts w:ascii="Arial" w:hAnsi="Arial" w:cs="Arial"/>
                <w:color w:val="000000"/>
                <w:sz w:val="20"/>
                <w:szCs w:val="20"/>
                <w:shd w:val="clear" w:color="auto" w:fill="FFFFFF"/>
              </w:rPr>
              <w:t>This publication was put out by the University of Arizona and provides the reader with content specific progressions within each mathematical domain. This is a great resource to better understand the standard expectations within your grade level, but also the vertical alignment of the skill.</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Collaborative Mathematics</w:t>
            </w:r>
          </w:p>
        </w:tc>
        <w:tc>
          <w:tcPr>
            <w:tcW w:w="1996" w:type="dxa"/>
            <w:vAlign w:val="center"/>
          </w:tcPr>
          <w:p w:rsidR="00DD291D" w:rsidRDefault="007A7E53" w:rsidP="00DD291D">
            <w:pPr>
              <w:jc w:val="center"/>
            </w:pPr>
            <w:hyperlink r:id="rId20" w:history="1">
              <w:r w:rsidR="00DD291D" w:rsidRPr="007B2E1B">
                <w:rPr>
                  <w:rStyle w:val="Hyperlink"/>
                </w:rPr>
                <w:t>http://www.collaborativemathematics.org/</w:t>
              </w:r>
            </w:hyperlink>
          </w:p>
        </w:tc>
        <w:tc>
          <w:tcPr>
            <w:tcW w:w="6930" w:type="dxa"/>
            <w:vAlign w:val="center"/>
          </w:tcPr>
          <w:p w:rsidR="00DD291D" w:rsidRDefault="00DD291D" w:rsidP="00DD291D">
            <w:pPr>
              <w:jc w:val="center"/>
            </w:pPr>
            <w:r>
              <w:t>Students are provided a video that introduces a mathematical challenge. Once students have a response and discussion has occurred, they have the opportunity to view (and submit) responses to the challenge. There is an online component that allows students to submit to the website, but it is not necessary to hold a classroom conversation.</w:t>
            </w:r>
          </w:p>
        </w:tc>
        <w:tc>
          <w:tcPr>
            <w:tcW w:w="540" w:type="dxa"/>
            <w:vAlign w:val="center"/>
          </w:tcPr>
          <w:p w:rsidR="00DD291D" w:rsidRDefault="00DD291D" w:rsidP="00DD291D">
            <w:pPr>
              <w:jc w:val="center"/>
            </w:pP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DD291D">
        <w:trPr>
          <w:cantSplit/>
          <w:trHeight w:val="265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Estimation 180</w:t>
            </w:r>
          </w:p>
        </w:tc>
        <w:tc>
          <w:tcPr>
            <w:tcW w:w="1996" w:type="dxa"/>
            <w:vAlign w:val="center"/>
          </w:tcPr>
          <w:p w:rsidR="00DD291D" w:rsidRDefault="007A7E53" w:rsidP="00DD291D">
            <w:pPr>
              <w:jc w:val="center"/>
            </w:pPr>
            <w:hyperlink r:id="rId21" w:history="1">
              <w:r w:rsidR="00DD291D" w:rsidRPr="007B2E1B">
                <w:rPr>
                  <w:rStyle w:val="Hyperlink"/>
                </w:rPr>
                <w:t>http://www.estimation180.com/</w:t>
              </w:r>
            </w:hyperlink>
          </w:p>
        </w:tc>
        <w:tc>
          <w:tcPr>
            <w:tcW w:w="6930" w:type="dxa"/>
            <w:vAlign w:val="center"/>
          </w:tcPr>
          <w:p w:rsidR="00DD291D" w:rsidRDefault="00DD291D" w:rsidP="00DD291D">
            <w:pPr>
              <w:jc w:val="center"/>
            </w:pPr>
            <w:r>
              <w:t>This website displays a photo and students are challenged to estimate the answer to the given question. Each day there is a different photo, often building on information that they learned the day prior. There is an online component that allows students to submit to the website, but it is not necessary to hold a classroom conversation.</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DD291D">
        <w:trPr>
          <w:cantSplit/>
          <w:trHeight w:val="539"/>
          <w:jc w:val="center"/>
        </w:trPr>
        <w:tc>
          <w:tcPr>
            <w:tcW w:w="1075" w:type="dxa"/>
            <w:shd w:val="clear" w:color="auto" w:fill="FFF2CC" w:themeFill="accent4" w:themeFillTint="33"/>
            <w:vAlign w:val="center"/>
          </w:tcPr>
          <w:p w:rsidR="00DD291D" w:rsidRPr="002A1EB2" w:rsidRDefault="00DD291D" w:rsidP="00DD291D">
            <w:pPr>
              <w:jc w:val="center"/>
              <w:rPr>
                <w:b/>
              </w:rPr>
            </w:pPr>
            <w:r w:rsidRPr="002A1EB2">
              <w:rPr>
                <w:b/>
              </w:rPr>
              <w:lastRenderedPageBreak/>
              <w:t>Resource Category</w:t>
            </w:r>
          </w:p>
        </w:tc>
        <w:tc>
          <w:tcPr>
            <w:tcW w:w="2684" w:type="dxa"/>
            <w:shd w:val="clear" w:color="auto" w:fill="FFF2CC" w:themeFill="accent4" w:themeFillTint="33"/>
            <w:vAlign w:val="center"/>
          </w:tcPr>
          <w:p w:rsidR="00DD291D" w:rsidRPr="002A1EB2" w:rsidRDefault="00DD291D" w:rsidP="00DD291D">
            <w:pPr>
              <w:jc w:val="center"/>
              <w:rPr>
                <w:b/>
              </w:rPr>
            </w:pPr>
            <w:r w:rsidRPr="002A1EB2">
              <w:rPr>
                <w:b/>
              </w:rPr>
              <w:t>Website</w:t>
            </w:r>
          </w:p>
        </w:tc>
        <w:tc>
          <w:tcPr>
            <w:tcW w:w="1996" w:type="dxa"/>
            <w:shd w:val="clear" w:color="auto" w:fill="FFF2CC" w:themeFill="accent4" w:themeFillTint="33"/>
            <w:vAlign w:val="center"/>
          </w:tcPr>
          <w:p w:rsidR="00DD291D" w:rsidRPr="002A1EB2" w:rsidRDefault="00DD291D" w:rsidP="00DD291D">
            <w:pPr>
              <w:jc w:val="center"/>
              <w:rPr>
                <w:b/>
              </w:rPr>
            </w:pPr>
            <w:r w:rsidRPr="002A1EB2">
              <w:rPr>
                <w:b/>
              </w:rPr>
              <w:t>Web Address</w:t>
            </w:r>
          </w:p>
        </w:tc>
        <w:tc>
          <w:tcPr>
            <w:tcW w:w="6930" w:type="dxa"/>
            <w:shd w:val="clear" w:color="auto" w:fill="FFF2CC" w:themeFill="accent4" w:themeFillTint="33"/>
            <w:vAlign w:val="center"/>
          </w:tcPr>
          <w:p w:rsidR="00DD291D" w:rsidRPr="002A1EB2" w:rsidRDefault="00DD291D" w:rsidP="00DD291D">
            <w:pPr>
              <w:jc w:val="center"/>
              <w:rPr>
                <w:b/>
              </w:rPr>
            </w:pPr>
            <w:r w:rsidRPr="002A1EB2">
              <w:rPr>
                <w:b/>
              </w:rPr>
              <w:t>Description</w:t>
            </w:r>
          </w:p>
        </w:tc>
        <w:tc>
          <w:tcPr>
            <w:tcW w:w="540" w:type="dxa"/>
            <w:shd w:val="clear" w:color="auto" w:fill="FFF2CC" w:themeFill="accent4" w:themeFillTint="33"/>
            <w:vAlign w:val="center"/>
          </w:tcPr>
          <w:p w:rsidR="00DD291D" w:rsidRPr="002A1EB2" w:rsidRDefault="00DD291D" w:rsidP="00DD291D">
            <w:pPr>
              <w:jc w:val="center"/>
              <w:rPr>
                <w:b/>
              </w:rPr>
            </w:pPr>
            <w:r w:rsidRPr="002A1EB2">
              <w:rPr>
                <w:b/>
              </w:rPr>
              <w:t>K-5</w:t>
            </w:r>
          </w:p>
        </w:tc>
        <w:tc>
          <w:tcPr>
            <w:tcW w:w="540" w:type="dxa"/>
            <w:shd w:val="clear" w:color="auto" w:fill="FFF2CC" w:themeFill="accent4" w:themeFillTint="33"/>
            <w:vAlign w:val="center"/>
          </w:tcPr>
          <w:p w:rsidR="00DD291D" w:rsidRPr="002A1EB2" w:rsidRDefault="00DD291D" w:rsidP="00DD291D">
            <w:pPr>
              <w:jc w:val="center"/>
              <w:rPr>
                <w:b/>
              </w:rPr>
            </w:pPr>
            <w:r w:rsidRPr="002A1EB2">
              <w:rPr>
                <w:b/>
              </w:rPr>
              <w:t>6-8</w:t>
            </w:r>
          </w:p>
        </w:tc>
        <w:tc>
          <w:tcPr>
            <w:tcW w:w="622" w:type="dxa"/>
            <w:shd w:val="clear" w:color="auto" w:fill="FFF2CC" w:themeFill="accent4" w:themeFillTint="33"/>
            <w:vAlign w:val="center"/>
          </w:tcPr>
          <w:p w:rsidR="00DD291D" w:rsidRPr="002A1EB2" w:rsidRDefault="00DD291D" w:rsidP="00DD291D">
            <w:pPr>
              <w:jc w:val="center"/>
              <w:rPr>
                <w:b/>
              </w:rPr>
            </w:pPr>
            <w:r w:rsidRPr="002A1EB2">
              <w:rPr>
                <w:b/>
              </w:rPr>
              <w:t>9-12</w:t>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Google Trends</w:t>
            </w:r>
          </w:p>
        </w:tc>
        <w:tc>
          <w:tcPr>
            <w:tcW w:w="1996" w:type="dxa"/>
            <w:vAlign w:val="center"/>
          </w:tcPr>
          <w:p w:rsidR="00DD291D" w:rsidRDefault="007A7E53" w:rsidP="00DD291D">
            <w:pPr>
              <w:jc w:val="center"/>
            </w:pPr>
            <w:hyperlink r:id="rId22" w:history="1">
              <w:r w:rsidR="00DD291D" w:rsidRPr="007B2E1B">
                <w:rPr>
                  <w:rStyle w:val="Hyperlink"/>
                </w:rPr>
                <w:t>https://trends.google.com/trends/</w:t>
              </w:r>
            </w:hyperlink>
          </w:p>
        </w:tc>
        <w:tc>
          <w:tcPr>
            <w:tcW w:w="6930" w:type="dxa"/>
            <w:vAlign w:val="center"/>
          </w:tcPr>
          <w:p w:rsidR="00DD291D" w:rsidRPr="00B13B9F" w:rsidRDefault="00DD291D" w:rsidP="00DD291D">
            <w:pPr>
              <w:jc w:val="center"/>
              <w:rPr>
                <w:i/>
              </w:rPr>
            </w:pPr>
            <w:r>
              <w:t xml:space="preserve">Search a topic for interest for your students on Google Trends or use one of Google’s Featured Insights and have an open and transparent discussion with the students about the data they find. The trending stories will show up first. Question students, “What do your students notice? What do they wonder?” This is a user friendly way to incorporate data using real-world information. </w:t>
            </w:r>
            <w:r>
              <w:rPr>
                <w:i/>
              </w:rPr>
              <w:t>Be mindful of what data the students are viewing, so data may include inappropriate topics.</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Graphing Stories</w:t>
            </w:r>
          </w:p>
        </w:tc>
        <w:tc>
          <w:tcPr>
            <w:tcW w:w="1996" w:type="dxa"/>
            <w:vAlign w:val="center"/>
          </w:tcPr>
          <w:p w:rsidR="00DD291D" w:rsidRDefault="007A7E53" w:rsidP="00DD291D">
            <w:pPr>
              <w:jc w:val="center"/>
            </w:pPr>
            <w:hyperlink r:id="rId23" w:history="1">
              <w:r w:rsidR="00DD291D" w:rsidRPr="007B2E1B">
                <w:rPr>
                  <w:rStyle w:val="Hyperlink"/>
                </w:rPr>
                <w:t>http://graphingstories.com/</w:t>
              </w:r>
            </w:hyperlink>
          </w:p>
        </w:tc>
        <w:tc>
          <w:tcPr>
            <w:tcW w:w="6930" w:type="dxa"/>
            <w:vAlign w:val="center"/>
          </w:tcPr>
          <w:p w:rsidR="00DD291D" w:rsidRDefault="00DD291D" w:rsidP="00DD291D">
            <w:pPr>
              <w:jc w:val="center"/>
            </w:pPr>
            <w:r>
              <w:t>Using a short real-world video, students collect data and using a coordinate grid, they create a graph to explain the data. The conversations that this inspires will foster understanding of the graphing and algebraic relationships.</w:t>
            </w:r>
          </w:p>
        </w:tc>
        <w:tc>
          <w:tcPr>
            <w:tcW w:w="540" w:type="dxa"/>
            <w:vAlign w:val="center"/>
          </w:tcPr>
          <w:p w:rsidR="00DD291D" w:rsidRDefault="00DD291D" w:rsidP="00DD291D">
            <w:pPr>
              <w:jc w:val="center"/>
            </w:pP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Open Middle</w:t>
            </w:r>
          </w:p>
        </w:tc>
        <w:tc>
          <w:tcPr>
            <w:tcW w:w="1996" w:type="dxa"/>
            <w:vAlign w:val="center"/>
          </w:tcPr>
          <w:p w:rsidR="00DD291D" w:rsidRDefault="007A7E53" w:rsidP="00DD291D">
            <w:pPr>
              <w:jc w:val="center"/>
            </w:pPr>
            <w:hyperlink r:id="rId24" w:history="1">
              <w:r w:rsidR="00DD291D" w:rsidRPr="007B2E1B">
                <w:rPr>
                  <w:rStyle w:val="Hyperlink"/>
                </w:rPr>
                <w:t>http://www.openmiddle.com/</w:t>
              </w:r>
            </w:hyperlink>
          </w:p>
        </w:tc>
        <w:tc>
          <w:tcPr>
            <w:tcW w:w="6930" w:type="dxa"/>
            <w:vAlign w:val="center"/>
          </w:tcPr>
          <w:p w:rsidR="00DD291D" w:rsidRDefault="00DD291D" w:rsidP="00DD291D">
            <w:pPr>
              <w:jc w:val="center"/>
            </w:pPr>
            <w:r>
              <w:t>The problems found on this website are “open middle”, meaning that there are multiple ways to solve them. These activities require a higher depth of knowledge, with supports imbedded to meet the needs of all learners. This website does require printing the selected problems out for students to use, but all problems are organized by grade level and concept making it is easily accessible.</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Same or Different Images</w:t>
            </w:r>
          </w:p>
        </w:tc>
        <w:tc>
          <w:tcPr>
            <w:tcW w:w="1996" w:type="dxa"/>
            <w:vAlign w:val="center"/>
          </w:tcPr>
          <w:p w:rsidR="00DD291D" w:rsidRDefault="007A7E53" w:rsidP="00DD291D">
            <w:pPr>
              <w:jc w:val="center"/>
            </w:pPr>
            <w:hyperlink r:id="rId25" w:history="1">
              <w:r w:rsidR="00DD291D" w:rsidRPr="007B2E1B">
                <w:rPr>
                  <w:rStyle w:val="Hyperlink"/>
                </w:rPr>
                <w:t>https://samedifferentimages.wordpress.com/</w:t>
              </w:r>
            </w:hyperlink>
          </w:p>
        </w:tc>
        <w:tc>
          <w:tcPr>
            <w:tcW w:w="6930" w:type="dxa"/>
            <w:vAlign w:val="center"/>
          </w:tcPr>
          <w:p w:rsidR="00DD291D" w:rsidRDefault="00DD291D" w:rsidP="00DD291D">
            <w:pPr>
              <w:jc w:val="center"/>
            </w:pPr>
            <w:r>
              <w:t>Students are shown images and they must argue if they feel the images are the same or different. This will challenge students to explain their thinking and hold mathematical arguments even at a very young age.</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p>
        </w:tc>
        <w:tc>
          <w:tcPr>
            <w:tcW w:w="622" w:type="dxa"/>
            <w:vAlign w:val="center"/>
          </w:tcPr>
          <w:p w:rsidR="00DD291D" w:rsidRDefault="00DD291D" w:rsidP="00DD291D">
            <w:pPr>
              <w:jc w:val="center"/>
            </w:pP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 xml:space="preserve">Steve </w:t>
            </w:r>
            <w:proofErr w:type="spellStart"/>
            <w:r w:rsidRPr="002A1EB2">
              <w:rPr>
                <w:b/>
                <w:sz w:val="24"/>
              </w:rPr>
              <w:t>Wyborney’s</w:t>
            </w:r>
            <w:proofErr w:type="spellEnd"/>
            <w:r w:rsidRPr="002A1EB2">
              <w:rPr>
                <w:b/>
                <w:sz w:val="24"/>
              </w:rPr>
              <w:t xml:space="preserve"> SPLAT!</w:t>
            </w:r>
          </w:p>
        </w:tc>
        <w:tc>
          <w:tcPr>
            <w:tcW w:w="1996" w:type="dxa"/>
            <w:vAlign w:val="center"/>
          </w:tcPr>
          <w:p w:rsidR="00DD291D" w:rsidRDefault="007A7E53" w:rsidP="00DD291D">
            <w:pPr>
              <w:jc w:val="center"/>
            </w:pPr>
            <w:hyperlink r:id="rId26" w:history="1">
              <w:r w:rsidR="00DD291D" w:rsidRPr="007B2E1B">
                <w:rPr>
                  <w:rStyle w:val="Hyperlink"/>
                </w:rPr>
                <w:t>http://www.stevewyborney.com/?p=893</w:t>
              </w:r>
            </w:hyperlink>
          </w:p>
        </w:tc>
        <w:tc>
          <w:tcPr>
            <w:tcW w:w="6930" w:type="dxa"/>
            <w:vAlign w:val="center"/>
          </w:tcPr>
          <w:p w:rsidR="00DD291D" w:rsidRDefault="00DD291D" w:rsidP="00DD291D">
            <w:pPr>
              <w:jc w:val="center"/>
            </w:pPr>
            <w:r>
              <w:t>Splat! Is a downloadable progressive PowerPoint that demonstrates the part-part-whole understanding. Students will first be shown a cluster of dots, then a Splat! (</w:t>
            </w:r>
            <w:proofErr w:type="gramStart"/>
            <w:r>
              <w:t>or</w:t>
            </w:r>
            <w:proofErr w:type="gramEnd"/>
            <w:r>
              <w:t xml:space="preserve"> spot) will  cover a portion of them. The students will then use their understanding to decide how many dots are covered. Splats come in a variety of levels including: splat within 10, splat within 20, multiple splat, 2-color splat, 2-variable splat, number splat, and fraction splat.</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p>
        </w:tc>
        <w:tc>
          <w:tcPr>
            <w:tcW w:w="622" w:type="dxa"/>
            <w:vAlign w:val="center"/>
          </w:tcPr>
          <w:p w:rsidR="00DD291D" w:rsidRDefault="00DD291D" w:rsidP="00DD291D">
            <w:pPr>
              <w:jc w:val="center"/>
            </w:pPr>
          </w:p>
        </w:tc>
      </w:tr>
      <w:tr w:rsidR="00DD291D" w:rsidTr="00B674C8">
        <w:trPr>
          <w:cantSplit/>
          <w:trHeight w:val="1134"/>
          <w:jc w:val="center"/>
        </w:trPr>
        <w:tc>
          <w:tcPr>
            <w:tcW w:w="1075" w:type="dxa"/>
            <w:shd w:val="clear" w:color="auto" w:fill="FFCCCC"/>
            <w:textDirection w:val="btLr"/>
            <w:vAlign w:val="center"/>
          </w:tcPr>
          <w:p w:rsidR="00DD291D" w:rsidRPr="002A1EB2" w:rsidRDefault="00DD291D" w:rsidP="00DD291D">
            <w:pPr>
              <w:ind w:left="113" w:right="113"/>
              <w:jc w:val="center"/>
              <w:rPr>
                <w:b/>
              </w:rPr>
            </w:pPr>
            <w:r w:rsidRPr="002A1EB2">
              <w:rPr>
                <w:b/>
              </w:rPr>
              <w:t>Planning &amp; Lessons</w:t>
            </w:r>
          </w:p>
        </w:tc>
        <w:tc>
          <w:tcPr>
            <w:tcW w:w="2684" w:type="dxa"/>
            <w:vAlign w:val="center"/>
          </w:tcPr>
          <w:p w:rsidR="00DD291D" w:rsidRPr="002A1EB2" w:rsidRDefault="00DD291D" w:rsidP="00DD291D">
            <w:pPr>
              <w:jc w:val="center"/>
              <w:rPr>
                <w:b/>
                <w:sz w:val="24"/>
              </w:rPr>
            </w:pPr>
            <w:proofErr w:type="spellStart"/>
            <w:r>
              <w:rPr>
                <w:b/>
                <w:sz w:val="24"/>
              </w:rPr>
              <w:t>TEDEd</w:t>
            </w:r>
            <w:proofErr w:type="spellEnd"/>
          </w:p>
        </w:tc>
        <w:tc>
          <w:tcPr>
            <w:tcW w:w="1996" w:type="dxa"/>
            <w:vAlign w:val="center"/>
          </w:tcPr>
          <w:p w:rsidR="00DD291D" w:rsidRDefault="007A7E53" w:rsidP="00DD291D">
            <w:pPr>
              <w:jc w:val="center"/>
            </w:pPr>
            <w:hyperlink r:id="rId27" w:history="1">
              <w:r w:rsidR="00DD291D" w:rsidRPr="004C22F8">
                <w:rPr>
                  <w:rStyle w:val="Hyperlink"/>
                </w:rPr>
                <w:t>https://ed.ted.com/lessons?content_type=originals&amp;category=mathematics&amp;direction=desc&amp;sort=publish-date</w:t>
              </w:r>
            </w:hyperlink>
            <w:r w:rsidR="00DD291D">
              <w:t xml:space="preserve"> </w:t>
            </w:r>
          </w:p>
        </w:tc>
        <w:tc>
          <w:tcPr>
            <w:tcW w:w="6930" w:type="dxa"/>
            <w:vAlign w:val="center"/>
          </w:tcPr>
          <w:p w:rsidR="00DD291D" w:rsidRDefault="00DD291D" w:rsidP="00DD291D">
            <w:pPr>
              <w:jc w:val="center"/>
            </w:pPr>
            <w:proofErr w:type="spellStart"/>
            <w:r>
              <w:t>TEDEd</w:t>
            </w:r>
            <w:proofErr w:type="spellEnd"/>
            <w:r>
              <w:t xml:space="preserve"> is a search platform that provides informational background for mathematical concepts. A brief video is provided along with some summarizing questions and additional resources. These activities would make great lesson openings.</w:t>
            </w:r>
          </w:p>
        </w:tc>
        <w:tc>
          <w:tcPr>
            <w:tcW w:w="540" w:type="dxa"/>
            <w:vAlign w:val="center"/>
          </w:tcPr>
          <w:p w:rsidR="00DD291D" w:rsidRPr="008836CE" w:rsidRDefault="00DD291D" w:rsidP="00DD291D">
            <w:pPr>
              <w:jc w:val="center"/>
              <w:rPr>
                <w:sz w:val="48"/>
              </w:rPr>
            </w:pP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DD291D">
        <w:trPr>
          <w:cantSplit/>
          <w:trHeight w:val="629"/>
          <w:jc w:val="center"/>
        </w:trPr>
        <w:tc>
          <w:tcPr>
            <w:tcW w:w="1075" w:type="dxa"/>
            <w:shd w:val="clear" w:color="auto" w:fill="FFF2CC" w:themeFill="accent4" w:themeFillTint="33"/>
            <w:vAlign w:val="center"/>
          </w:tcPr>
          <w:p w:rsidR="00DD291D" w:rsidRPr="002A1EB2" w:rsidRDefault="00DD291D" w:rsidP="00DD291D">
            <w:pPr>
              <w:jc w:val="center"/>
              <w:rPr>
                <w:b/>
              </w:rPr>
            </w:pPr>
            <w:r w:rsidRPr="002A1EB2">
              <w:rPr>
                <w:b/>
              </w:rPr>
              <w:lastRenderedPageBreak/>
              <w:t>Resource Category</w:t>
            </w:r>
          </w:p>
        </w:tc>
        <w:tc>
          <w:tcPr>
            <w:tcW w:w="2684" w:type="dxa"/>
            <w:shd w:val="clear" w:color="auto" w:fill="FFF2CC" w:themeFill="accent4" w:themeFillTint="33"/>
            <w:vAlign w:val="center"/>
          </w:tcPr>
          <w:p w:rsidR="00DD291D" w:rsidRPr="002A1EB2" w:rsidRDefault="00DD291D" w:rsidP="00DD291D">
            <w:pPr>
              <w:jc w:val="center"/>
              <w:rPr>
                <w:b/>
              </w:rPr>
            </w:pPr>
            <w:r w:rsidRPr="002A1EB2">
              <w:rPr>
                <w:b/>
              </w:rPr>
              <w:t>Website</w:t>
            </w:r>
          </w:p>
        </w:tc>
        <w:tc>
          <w:tcPr>
            <w:tcW w:w="1996" w:type="dxa"/>
            <w:shd w:val="clear" w:color="auto" w:fill="FFF2CC" w:themeFill="accent4" w:themeFillTint="33"/>
            <w:vAlign w:val="center"/>
          </w:tcPr>
          <w:p w:rsidR="00DD291D" w:rsidRPr="002A1EB2" w:rsidRDefault="00DD291D" w:rsidP="00DD291D">
            <w:pPr>
              <w:jc w:val="center"/>
              <w:rPr>
                <w:b/>
              </w:rPr>
            </w:pPr>
            <w:r w:rsidRPr="002A1EB2">
              <w:rPr>
                <w:b/>
              </w:rPr>
              <w:t>Web Address</w:t>
            </w:r>
          </w:p>
        </w:tc>
        <w:tc>
          <w:tcPr>
            <w:tcW w:w="6930" w:type="dxa"/>
            <w:shd w:val="clear" w:color="auto" w:fill="FFF2CC" w:themeFill="accent4" w:themeFillTint="33"/>
            <w:vAlign w:val="center"/>
          </w:tcPr>
          <w:p w:rsidR="00DD291D" w:rsidRPr="002A1EB2" w:rsidRDefault="00DD291D" w:rsidP="00DD291D">
            <w:pPr>
              <w:jc w:val="center"/>
              <w:rPr>
                <w:b/>
              </w:rPr>
            </w:pPr>
            <w:r w:rsidRPr="002A1EB2">
              <w:rPr>
                <w:b/>
              </w:rPr>
              <w:t>Description</w:t>
            </w:r>
          </w:p>
        </w:tc>
        <w:tc>
          <w:tcPr>
            <w:tcW w:w="540" w:type="dxa"/>
            <w:shd w:val="clear" w:color="auto" w:fill="FFF2CC" w:themeFill="accent4" w:themeFillTint="33"/>
            <w:vAlign w:val="center"/>
          </w:tcPr>
          <w:p w:rsidR="00DD291D" w:rsidRPr="002A1EB2" w:rsidRDefault="00DD291D" w:rsidP="00DD291D">
            <w:pPr>
              <w:jc w:val="center"/>
              <w:rPr>
                <w:b/>
              </w:rPr>
            </w:pPr>
            <w:r w:rsidRPr="002A1EB2">
              <w:rPr>
                <w:b/>
              </w:rPr>
              <w:t>K-5</w:t>
            </w:r>
          </w:p>
        </w:tc>
        <w:tc>
          <w:tcPr>
            <w:tcW w:w="540" w:type="dxa"/>
            <w:shd w:val="clear" w:color="auto" w:fill="FFF2CC" w:themeFill="accent4" w:themeFillTint="33"/>
            <w:vAlign w:val="center"/>
          </w:tcPr>
          <w:p w:rsidR="00DD291D" w:rsidRPr="002A1EB2" w:rsidRDefault="00DD291D" w:rsidP="00DD291D">
            <w:pPr>
              <w:jc w:val="center"/>
              <w:rPr>
                <w:b/>
              </w:rPr>
            </w:pPr>
            <w:r w:rsidRPr="002A1EB2">
              <w:rPr>
                <w:b/>
              </w:rPr>
              <w:t>6-8</w:t>
            </w:r>
          </w:p>
        </w:tc>
        <w:tc>
          <w:tcPr>
            <w:tcW w:w="622" w:type="dxa"/>
            <w:shd w:val="clear" w:color="auto" w:fill="FFF2CC" w:themeFill="accent4" w:themeFillTint="33"/>
            <w:vAlign w:val="center"/>
          </w:tcPr>
          <w:p w:rsidR="00DD291D" w:rsidRPr="002A1EB2" w:rsidRDefault="00DD291D" w:rsidP="00DD291D">
            <w:pPr>
              <w:jc w:val="center"/>
              <w:rPr>
                <w:b/>
              </w:rPr>
            </w:pPr>
            <w:r w:rsidRPr="002A1EB2">
              <w:rPr>
                <w:b/>
              </w:rPr>
              <w:t>9-12</w:t>
            </w:r>
          </w:p>
        </w:tc>
      </w:tr>
      <w:tr w:rsidR="00DD291D" w:rsidTr="0091719A">
        <w:trPr>
          <w:cantSplit/>
          <w:trHeight w:val="166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Visual Patterns</w:t>
            </w:r>
          </w:p>
        </w:tc>
        <w:tc>
          <w:tcPr>
            <w:tcW w:w="1996" w:type="dxa"/>
            <w:vAlign w:val="center"/>
          </w:tcPr>
          <w:p w:rsidR="00DD291D" w:rsidRDefault="007A7E53" w:rsidP="00DD291D">
            <w:pPr>
              <w:jc w:val="center"/>
            </w:pPr>
            <w:hyperlink r:id="rId28" w:history="1">
              <w:r w:rsidR="00DD291D" w:rsidRPr="007B2E1B">
                <w:rPr>
                  <w:rStyle w:val="Hyperlink"/>
                </w:rPr>
                <w:t>http://www.visualpatterns.org/</w:t>
              </w:r>
            </w:hyperlink>
          </w:p>
        </w:tc>
        <w:tc>
          <w:tcPr>
            <w:tcW w:w="6930" w:type="dxa"/>
            <w:vAlign w:val="center"/>
          </w:tcPr>
          <w:p w:rsidR="00DD291D" w:rsidRDefault="00DD291D" w:rsidP="00DD291D">
            <w:pPr>
              <w:jc w:val="center"/>
            </w:pPr>
            <w:r>
              <w:t>Students are provided the first three steps of a pattern and the total number of step 43 and students are challenged to create an equation to represent this pattern.</w:t>
            </w:r>
          </w:p>
        </w:tc>
        <w:tc>
          <w:tcPr>
            <w:tcW w:w="540" w:type="dxa"/>
            <w:vAlign w:val="center"/>
          </w:tcPr>
          <w:p w:rsidR="00DD291D" w:rsidRDefault="00DD291D" w:rsidP="00DD291D">
            <w:pPr>
              <w:jc w:val="center"/>
            </w:pP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Which One Doesn’t Belong</w:t>
            </w:r>
          </w:p>
        </w:tc>
        <w:tc>
          <w:tcPr>
            <w:tcW w:w="1996" w:type="dxa"/>
            <w:vAlign w:val="center"/>
          </w:tcPr>
          <w:p w:rsidR="00DD291D" w:rsidRDefault="007A7E53" w:rsidP="00DD291D">
            <w:pPr>
              <w:jc w:val="center"/>
            </w:pPr>
            <w:hyperlink r:id="rId29" w:history="1">
              <w:r w:rsidR="00DD291D" w:rsidRPr="007B2E1B">
                <w:rPr>
                  <w:rStyle w:val="Hyperlink"/>
                </w:rPr>
                <w:t>http://wodb.ca/</w:t>
              </w:r>
            </w:hyperlink>
          </w:p>
        </w:tc>
        <w:tc>
          <w:tcPr>
            <w:tcW w:w="6930" w:type="dxa"/>
            <w:vAlign w:val="center"/>
          </w:tcPr>
          <w:p w:rsidR="00DD291D" w:rsidRDefault="00DD291D" w:rsidP="00DD291D">
            <w:pPr>
              <w:jc w:val="center"/>
            </w:pPr>
            <w:r>
              <w:t>Students are shown four items and they have to decide which one of the four does not belong with the other three. There is no “correct answer” but rather numerous ways to look at each set. Challenge students to find ways to make each of the four possible solutions work. Puzzle categories include: shapes, numbers, or graphs &amp; equations. This is best used if students have the opportunity to create an independent estimate and then share with others.</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134"/>
          <w:jc w:val="center"/>
        </w:trPr>
        <w:tc>
          <w:tcPr>
            <w:tcW w:w="1075" w:type="dxa"/>
            <w:shd w:val="clear" w:color="auto" w:fill="FFCCCC"/>
            <w:textDirection w:val="btLr"/>
            <w:vAlign w:val="center"/>
          </w:tcPr>
          <w:p w:rsidR="00DD291D" w:rsidRDefault="00DD291D" w:rsidP="00DD291D">
            <w:pPr>
              <w:ind w:left="113" w:right="113"/>
              <w:jc w:val="center"/>
              <w:rPr>
                <w:b/>
              </w:rPr>
            </w:pPr>
            <w:r w:rsidRPr="002A1EB2">
              <w:rPr>
                <w:b/>
              </w:rPr>
              <w:t>Opening/</w:t>
            </w:r>
          </w:p>
          <w:p w:rsidR="00DD291D" w:rsidRPr="002A1EB2" w:rsidRDefault="00DD291D" w:rsidP="00DD291D">
            <w:pPr>
              <w:ind w:left="113" w:right="113"/>
              <w:jc w:val="center"/>
              <w:rPr>
                <w:b/>
              </w:rPr>
            </w:pPr>
            <w:r w:rsidRPr="002A1EB2">
              <w:rPr>
                <w:b/>
              </w:rPr>
              <w:t>Warm-Up</w:t>
            </w:r>
          </w:p>
        </w:tc>
        <w:tc>
          <w:tcPr>
            <w:tcW w:w="2684" w:type="dxa"/>
            <w:vAlign w:val="center"/>
          </w:tcPr>
          <w:p w:rsidR="00DD291D" w:rsidRPr="002A1EB2" w:rsidRDefault="00DD291D" w:rsidP="00DD291D">
            <w:pPr>
              <w:jc w:val="center"/>
              <w:rPr>
                <w:b/>
                <w:sz w:val="24"/>
              </w:rPr>
            </w:pPr>
            <w:r w:rsidRPr="002A1EB2">
              <w:rPr>
                <w:b/>
                <w:sz w:val="24"/>
              </w:rPr>
              <w:t>Would You Rather?</w:t>
            </w:r>
          </w:p>
        </w:tc>
        <w:tc>
          <w:tcPr>
            <w:tcW w:w="1996" w:type="dxa"/>
            <w:vAlign w:val="center"/>
          </w:tcPr>
          <w:p w:rsidR="00DD291D" w:rsidRDefault="007A7E53" w:rsidP="00DD291D">
            <w:pPr>
              <w:jc w:val="center"/>
            </w:pPr>
            <w:hyperlink r:id="rId30" w:history="1">
              <w:r w:rsidR="00DD291D" w:rsidRPr="007B2E1B">
                <w:rPr>
                  <w:rStyle w:val="Hyperlink"/>
                </w:rPr>
                <w:t>http://www.wouldyourathermath.com/</w:t>
              </w:r>
            </w:hyperlink>
          </w:p>
        </w:tc>
        <w:tc>
          <w:tcPr>
            <w:tcW w:w="6930" w:type="dxa"/>
            <w:vAlign w:val="center"/>
          </w:tcPr>
          <w:p w:rsidR="00DD291D" w:rsidRDefault="00DD291D" w:rsidP="00DD291D">
            <w:pPr>
              <w:jc w:val="center"/>
            </w:pPr>
            <w:r>
              <w:t>This website provides you two options and you have to justify which option you would select and why. One example would be: Would you rather purchase a pair of jeans from a store that you got 30% off or $30 off? Then the students are provided with additional information to consider. The photos and scenarios are real world and vary in complexity.</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070"/>
          <w:jc w:val="center"/>
        </w:trPr>
        <w:tc>
          <w:tcPr>
            <w:tcW w:w="1075" w:type="dxa"/>
            <w:shd w:val="clear" w:color="auto" w:fill="66FFFF"/>
            <w:textDirection w:val="btLr"/>
            <w:vAlign w:val="center"/>
          </w:tcPr>
          <w:p w:rsidR="00DD291D" w:rsidRPr="002A1EB2" w:rsidRDefault="00DD291D" w:rsidP="00DD291D">
            <w:pPr>
              <w:ind w:left="113" w:right="113"/>
              <w:jc w:val="center"/>
              <w:rPr>
                <w:b/>
              </w:rPr>
            </w:pPr>
            <w:r w:rsidRPr="002A1EB2">
              <w:rPr>
                <w:b/>
              </w:rPr>
              <w:t>Student Activities</w:t>
            </w:r>
          </w:p>
        </w:tc>
        <w:tc>
          <w:tcPr>
            <w:tcW w:w="2684" w:type="dxa"/>
            <w:vAlign w:val="center"/>
          </w:tcPr>
          <w:p w:rsidR="00DD291D" w:rsidRPr="002A1EB2" w:rsidRDefault="00DD291D" w:rsidP="00DD291D">
            <w:pPr>
              <w:jc w:val="center"/>
              <w:rPr>
                <w:b/>
                <w:sz w:val="24"/>
              </w:rPr>
            </w:pPr>
            <w:r w:rsidRPr="002A1EB2">
              <w:rPr>
                <w:b/>
                <w:sz w:val="24"/>
              </w:rPr>
              <w:t>4 Numbers</w:t>
            </w:r>
          </w:p>
        </w:tc>
        <w:tc>
          <w:tcPr>
            <w:tcW w:w="1996" w:type="dxa"/>
            <w:vAlign w:val="center"/>
          </w:tcPr>
          <w:p w:rsidR="00DD291D" w:rsidRDefault="007A7E53" w:rsidP="00DD291D">
            <w:pPr>
              <w:jc w:val="center"/>
            </w:pPr>
            <w:hyperlink r:id="rId31" w:history="1">
              <w:r w:rsidR="00DD291D" w:rsidRPr="007B2E1B">
                <w:rPr>
                  <w:rStyle w:val="Hyperlink"/>
                </w:rPr>
                <w:t>http://www.4nums.com/</w:t>
              </w:r>
            </w:hyperlink>
          </w:p>
        </w:tc>
        <w:tc>
          <w:tcPr>
            <w:tcW w:w="6930" w:type="dxa"/>
            <w:vAlign w:val="center"/>
          </w:tcPr>
          <w:p w:rsidR="00DD291D" w:rsidRDefault="00DD291D" w:rsidP="00DD291D">
            <w:pPr>
              <w:jc w:val="center"/>
            </w:pPr>
            <w:r>
              <w:t xml:space="preserve">Students must +, -, x, or </w:t>
            </w:r>
            <w:r>
              <w:rPr>
                <w:rFonts w:cstheme="minorHAnsi"/>
              </w:rPr>
              <w:t>÷ to build the value of 24.</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p>
        </w:tc>
        <w:tc>
          <w:tcPr>
            <w:tcW w:w="622" w:type="dxa"/>
            <w:vAlign w:val="center"/>
          </w:tcPr>
          <w:p w:rsidR="00DD291D" w:rsidRDefault="00DD291D" w:rsidP="00DD291D">
            <w:pPr>
              <w:jc w:val="center"/>
            </w:pPr>
          </w:p>
        </w:tc>
      </w:tr>
      <w:tr w:rsidR="00DD291D" w:rsidTr="00B674C8">
        <w:trPr>
          <w:cantSplit/>
          <w:trHeight w:val="1070"/>
          <w:jc w:val="center"/>
        </w:trPr>
        <w:tc>
          <w:tcPr>
            <w:tcW w:w="1075" w:type="dxa"/>
            <w:shd w:val="clear" w:color="auto" w:fill="66FFFF"/>
            <w:textDirection w:val="btLr"/>
            <w:vAlign w:val="center"/>
          </w:tcPr>
          <w:p w:rsidR="00DD291D" w:rsidRPr="002A1EB2" w:rsidRDefault="00DD291D" w:rsidP="00DD291D">
            <w:pPr>
              <w:ind w:left="113" w:right="113"/>
              <w:jc w:val="center"/>
              <w:rPr>
                <w:b/>
              </w:rPr>
            </w:pPr>
            <w:r w:rsidRPr="002A1EB2">
              <w:rPr>
                <w:b/>
              </w:rPr>
              <w:t>Student Activities</w:t>
            </w:r>
          </w:p>
        </w:tc>
        <w:tc>
          <w:tcPr>
            <w:tcW w:w="2684" w:type="dxa"/>
            <w:vAlign w:val="center"/>
          </w:tcPr>
          <w:p w:rsidR="00DD291D" w:rsidRPr="002A1EB2" w:rsidRDefault="00DD291D" w:rsidP="00DD291D">
            <w:pPr>
              <w:jc w:val="center"/>
              <w:rPr>
                <w:b/>
                <w:sz w:val="24"/>
              </w:rPr>
            </w:pPr>
            <w:r w:rsidRPr="002A1EB2">
              <w:rPr>
                <w:b/>
                <w:sz w:val="24"/>
              </w:rPr>
              <w:t>Bite Size</w:t>
            </w:r>
          </w:p>
        </w:tc>
        <w:tc>
          <w:tcPr>
            <w:tcW w:w="1996" w:type="dxa"/>
            <w:vAlign w:val="center"/>
          </w:tcPr>
          <w:p w:rsidR="00DD291D" w:rsidRDefault="007A7E53" w:rsidP="00DD291D">
            <w:pPr>
              <w:jc w:val="center"/>
            </w:pPr>
            <w:hyperlink r:id="rId32" w:history="1">
              <w:r w:rsidR="00DD291D" w:rsidRPr="007B2E1B">
                <w:rPr>
                  <w:rStyle w:val="Hyperlink"/>
                </w:rPr>
                <w:t>http://www.bbc.co.uk/bitesize/ks1/maths/</w:t>
              </w:r>
            </w:hyperlink>
          </w:p>
        </w:tc>
        <w:tc>
          <w:tcPr>
            <w:tcW w:w="6930" w:type="dxa"/>
            <w:vAlign w:val="center"/>
          </w:tcPr>
          <w:p w:rsidR="00DD291D" w:rsidRDefault="00DD291D" w:rsidP="00DD291D">
            <w:pPr>
              <w:jc w:val="center"/>
            </w:pPr>
            <w:r>
              <w:t>Interactive math games for students to play to work towards fluency.</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p>
        </w:tc>
        <w:tc>
          <w:tcPr>
            <w:tcW w:w="622" w:type="dxa"/>
            <w:vAlign w:val="center"/>
          </w:tcPr>
          <w:p w:rsidR="00DD291D" w:rsidRDefault="00DD291D" w:rsidP="00DD291D">
            <w:pPr>
              <w:jc w:val="center"/>
            </w:pPr>
          </w:p>
        </w:tc>
      </w:tr>
      <w:tr w:rsidR="00DD291D" w:rsidTr="00DD291D">
        <w:trPr>
          <w:cantSplit/>
          <w:trHeight w:val="1907"/>
          <w:jc w:val="center"/>
        </w:trPr>
        <w:tc>
          <w:tcPr>
            <w:tcW w:w="1075" w:type="dxa"/>
            <w:shd w:val="clear" w:color="auto" w:fill="66FFFF"/>
            <w:textDirection w:val="btLr"/>
            <w:vAlign w:val="center"/>
          </w:tcPr>
          <w:p w:rsidR="00DD291D" w:rsidRPr="002A1EB2" w:rsidRDefault="00DD291D" w:rsidP="00DD291D">
            <w:pPr>
              <w:ind w:left="113" w:right="113"/>
              <w:jc w:val="center"/>
              <w:rPr>
                <w:b/>
              </w:rPr>
            </w:pPr>
            <w:r w:rsidRPr="002A1EB2">
              <w:rPr>
                <w:b/>
              </w:rPr>
              <w:t>Student Activities</w:t>
            </w:r>
          </w:p>
        </w:tc>
        <w:tc>
          <w:tcPr>
            <w:tcW w:w="2684" w:type="dxa"/>
            <w:vAlign w:val="center"/>
          </w:tcPr>
          <w:p w:rsidR="00DD291D" w:rsidRPr="002A1EB2" w:rsidRDefault="00DD291D" w:rsidP="00DD291D">
            <w:pPr>
              <w:jc w:val="center"/>
              <w:rPr>
                <w:b/>
                <w:sz w:val="24"/>
              </w:rPr>
            </w:pPr>
            <w:proofErr w:type="spellStart"/>
            <w:r w:rsidRPr="002A1EB2">
              <w:rPr>
                <w:b/>
                <w:sz w:val="24"/>
              </w:rPr>
              <w:t>SolveMe</w:t>
            </w:r>
            <w:proofErr w:type="spellEnd"/>
            <w:r w:rsidRPr="002A1EB2">
              <w:rPr>
                <w:b/>
                <w:sz w:val="24"/>
              </w:rPr>
              <w:t xml:space="preserve"> Mobiles</w:t>
            </w:r>
          </w:p>
        </w:tc>
        <w:tc>
          <w:tcPr>
            <w:tcW w:w="1996" w:type="dxa"/>
            <w:vAlign w:val="center"/>
          </w:tcPr>
          <w:p w:rsidR="00DD291D" w:rsidRDefault="007A7E53" w:rsidP="00DD291D">
            <w:pPr>
              <w:jc w:val="center"/>
            </w:pPr>
            <w:hyperlink r:id="rId33" w:history="1">
              <w:r w:rsidR="00DD291D" w:rsidRPr="007B2E1B">
                <w:rPr>
                  <w:rStyle w:val="Hyperlink"/>
                </w:rPr>
                <w:t>https://solveme.edc.org/mobiles/</w:t>
              </w:r>
            </w:hyperlink>
          </w:p>
        </w:tc>
        <w:tc>
          <w:tcPr>
            <w:tcW w:w="6930" w:type="dxa"/>
            <w:vAlign w:val="center"/>
          </w:tcPr>
          <w:p w:rsidR="00DD291D" w:rsidRDefault="00DD291D" w:rsidP="00DD291D">
            <w:pPr>
              <w:jc w:val="center"/>
            </w:pPr>
            <w:r>
              <w:t>These are online puzzles in which students are shown a mobile and they have to solve for the value of each shape. Within the mobile, anytime a horizontal line is shown, this means that every string connected is equivalent. These start off easy and then progress. This website can be used independently or in groups.</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DD291D">
        <w:trPr>
          <w:cantSplit/>
          <w:trHeight w:val="539"/>
          <w:jc w:val="center"/>
        </w:trPr>
        <w:tc>
          <w:tcPr>
            <w:tcW w:w="1075" w:type="dxa"/>
            <w:shd w:val="clear" w:color="auto" w:fill="FFF2CC" w:themeFill="accent4" w:themeFillTint="33"/>
            <w:vAlign w:val="center"/>
          </w:tcPr>
          <w:p w:rsidR="00DD291D" w:rsidRPr="002A1EB2" w:rsidRDefault="00DD291D" w:rsidP="00DD291D">
            <w:pPr>
              <w:jc w:val="center"/>
              <w:rPr>
                <w:b/>
              </w:rPr>
            </w:pPr>
            <w:r w:rsidRPr="002A1EB2">
              <w:rPr>
                <w:b/>
              </w:rPr>
              <w:lastRenderedPageBreak/>
              <w:t>Resource Category</w:t>
            </w:r>
          </w:p>
        </w:tc>
        <w:tc>
          <w:tcPr>
            <w:tcW w:w="2684" w:type="dxa"/>
            <w:shd w:val="clear" w:color="auto" w:fill="FFF2CC" w:themeFill="accent4" w:themeFillTint="33"/>
            <w:vAlign w:val="center"/>
          </w:tcPr>
          <w:p w:rsidR="00DD291D" w:rsidRPr="002A1EB2" w:rsidRDefault="00DD291D" w:rsidP="00DD291D">
            <w:pPr>
              <w:jc w:val="center"/>
              <w:rPr>
                <w:b/>
              </w:rPr>
            </w:pPr>
            <w:r w:rsidRPr="002A1EB2">
              <w:rPr>
                <w:b/>
              </w:rPr>
              <w:t>Website</w:t>
            </w:r>
          </w:p>
        </w:tc>
        <w:tc>
          <w:tcPr>
            <w:tcW w:w="1996" w:type="dxa"/>
            <w:shd w:val="clear" w:color="auto" w:fill="FFF2CC" w:themeFill="accent4" w:themeFillTint="33"/>
            <w:vAlign w:val="center"/>
          </w:tcPr>
          <w:p w:rsidR="00DD291D" w:rsidRPr="002A1EB2" w:rsidRDefault="00DD291D" w:rsidP="00DD291D">
            <w:pPr>
              <w:jc w:val="center"/>
              <w:rPr>
                <w:b/>
              </w:rPr>
            </w:pPr>
            <w:r w:rsidRPr="002A1EB2">
              <w:rPr>
                <w:b/>
              </w:rPr>
              <w:t>Web Address</w:t>
            </w:r>
          </w:p>
        </w:tc>
        <w:tc>
          <w:tcPr>
            <w:tcW w:w="6930" w:type="dxa"/>
            <w:shd w:val="clear" w:color="auto" w:fill="FFF2CC" w:themeFill="accent4" w:themeFillTint="33"/>
            <w:vAlign w:val="center"/>
          </w:tcPr>
          <w:p w:rsidR="00DD291D" w:rsidRPr="002A1EB2" w:rsidRDefault="00DD291D" w:rsidP="00DD291D">
            <w:pPr>
              <w:jc w:val="center"/>
              <w:rPr>
                <w:b/>
              </w:rPr>
            </w:pPr>
            <w:r w:rsidRPr="002A1EB2">
              <w:rPr>
                <w:b/>
              </w:rPr>
              <w:t>Description</w:t>
            </w:r>
          </w:p>
        </w:tc>
        <w:tc>
          <w:tcPr>
            <w:tcW w:w="540" w:type="dxa"/>
            <w:shd w:val="clear" w:color="auto" w:fill="FFF2CC" w:themeFill="accent4" w:themeFillTint="33"/>
            <w:vAlign w:val="center"/>
          </w:tcPr>
          <w:p w:rsidR="00DD291D" w:rsidRPr="002A1EB2" w:rsidRDefault="00DD291D" w:rsidP="00DD291D">
            <w:pPr>
              <w:jc w:val="center"/>
              <w:rPr>
                <w:b/>
              </w:rPr>
            </w:pPr>
            <w:r w:rsidRPr="002A1EB2">
              <w:rPr>
                <w:b/>
              </w:rPr>
              <w:t>K-5</w:t>
            </w:r>
          </w:p>
        </w:tc>
        <w:tc>
          <w:tcPr>
            <w:tcW w:w="540" w:type="dxa"/>
            <w:shd w:val="clear" w:color="auto" w:fill="FFF2CC" w:themeFill="accent4" w:themeFillTint="33"/>
            <w:vAlign w:val="center"/>
          </w:tcPr>
          <w:p w:rsidR="00DD291D" w:rsidRPr="002A1EB2" w:rsidRDefault="00DD291D" w:rsidP="00DD291D">
            <w:pPr>
              <w:jc w:val="center"/>
              <w:rPr>
                <w:b/>
              </w:rPr>
            </w:pPr>
            <w:r w:rsidRPr="002A1EB2">
              <w:rPr>
                <w:b/>
              </w:rPr>
              <w:t>6-8</w:t>
            </w:r>
          </w:p>
        </w:tc>
        <w:tc>
          <w:tcPr>
            <w:tcW w:w="622" w:type="dxa"/>
            <w:shd w:val="clear" w:color="auto" w:fill="FFF2CC" w:themeFill="accent4" w:themeFillTint="33"/>
            <w:vAlign w:val="center"/>
          </w:tcPr>
          <w:p w:rsidR="00DD291D" w:rsidRPr="002A1EB2" w:rsidRDefault="00DD291D" w:rsidP="00DD291D">
            <w:pPr>
              <w:jc w:val="center"/>
              <w:rPr>
                <w:b/>
              </w:rPr>
            </w:pPr>
            <w:r w:rsidRPr="002A1EB2">
              <w:rPr>
                <w:b/>
              </w:rPr>
              <w:t>9-12</w:t>
            </w:r>
          </w:p>
        </w:tc>
      </w:tr>
      <w:tr w:rsidR="00DD291D" w:rsidTr="00B674C8">
        <w:trPr>
          <w:cantSplit/>
          <w:trHeight w:val="1134"/>
          <w:jc w:val="center"/>
        </w:trPr>
        <w:tc>
          <w:tcPr>
            <w:tcW w:w="1075" w:type="dxa"/>
            <w:shd w:val="clear" w:color="auto" w:fill="66FFFF"/>
            <w:textDirection w:val="btLr"/>
            <w:vAlign w:val="center"/>
          </w:tcPr>
          <w:p w:rsidR="00DD291D" w:rsidRPr="002A1EB2" w:rsidRDefault="00DD291D" w:rsidP="00DD291D">
            <w:pPr>
              <w:ind w:left="113" w:right="113"/>
              <w:jc w:val="center"/>
              <w:rPr>
                <w:b/>
              </w:rPr>
            </w:pPr>
            <w:r w:rsidRPr="002A1EB2">
              <w:rPr>
                <w:b/>
              </w:rPr>
              <w:t>Student Activities</w:t>
            </w:r>
          </w:p>
        </w:tc>
        <w:tc>
          <w:tcPr>
            <w:tcW w:w="2684" w:type="dxa"/>
            <w:vAlign w:val="center"/>
          </w:tcPr>
          <w:p w:rsidR="00DD291D" w:rsidRPr="002A1EB2" w:rsidRDefault="00DD291D" w:rsidP="00DD291D">
            <w:pPr>
              <w:jc w:val="center"/>
              <w:rPr>
                <w:b/>
                <w:sz w:val="24"/>
              </w:rPr>
            </w:pPr>
            <w:proofErr w:type="spellStart"/>
            <w:r w:rsidRPr="002A1EB2">
              <w:rPr>
                <w:b/>
                <w:sz w:val="24"/>
              </w:rPr>
              <w:t>SolveMe</w:t>
            </w:r>
            <w:proofErr w:type="spellEnd"/>
            <w:r w:rsidRPr="002A1EB2">
              <w:rPr>
                <w:b/>
                <w:sz w:val="24"/>
              </w:rPr>
              <w:t xml:space="preserve"> Mystery Grid</w:t>
            </w:r>
          </w:p>
        </w:tc>
        <w:tc>
          <w:tcPr>
            <w:tcW w:w="1996" w:type="dxa"/>
            <w:vAlign w:val="center"/>
          </w:tcPr>
          <w:p w:rsidR="00DD291D" w:rsidRDefault="007A7E53" w:rsidP="00DD291D">
            <w:pPr>
              <w:jc w:val="center"/>
            </w:pPr>
            <w:hyperlink r:id="rId34" w:history="1">
              <w:r w:rsidR="00DD291D" w:rsidRPr="007B2E1B">
                <w:rPr>
                  <w:rStyle w:val="Hyperlink"/>
                </w:rPr>
                <w:t>https://solveme.edc.org/mysterygrid/</w:t>
              </w:r>
            </w:hyperlink>
          </w:p>
        </w:tc>
        <w:tc>
          <w:tcPr>
            <w:tcW w:w="6930" w:type="dxa"/>
            <w:vAlign w:val="center"/>
          </w:tcPr>
          <w:p w:rsidR="00DD291D" w:rsidRDefault="00DD291D" w:rsidP="00DD291D">
            <w:pPr>
              <w:jc w:val="center"/>
            </w:pPr>
            <w:r>
              <w:t>These puzzles begin similarly to Sudoku. Students must place numbers within an array so that each number does not repeat in a row or column. These puzzles eventually progress to challenge students to meet specific requirements such as an indicated sum.</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r w:rsidR="00DD291D" w:rsidTr="00B674C8">
        <w:trPr>
          <w:cantSplit/>
          <w:trHeight w:val="1088"/>
          <w:jc w:val="center"/>
        </w:trPr>
        <w:tc>
          <w:tcPr>
            <w:tcW w:w="1075" w:type="dxa"/>
            <w:shd w:val="clear" w:color="auto" w:fill="66FFFF"/>
            <w:textDirection w:val="btLr"/>
            <w:vAlign w:val="center"/>
          </w:tcPr>
          <w:p w:rsidR="00DD291D" w:rsidRPr="002A1EB2" w:rsidRDefault="00DD291D" w:rsidP="00DD291D">
            <w:pPr>
              <w:ind w:left="113" w:right="113"/>
              <w:jc w:val="center"/>
              <w:rPr>
                <w:b/>
              </w:rPr>
            </w:pPr>
            <w:r w:rsidRPr="002A1EB2">
              <w:rPr>
                <w:b/>
              </w:rPr>
              <w:t>Student Activities</w:t>
            </w:r>
          </w:p>
        </w:tc>
        <w:tc>
          <w:tcPr>
            <w:tcW w:w="2684" w:type="dxa"/>
            <w:vAlign w:val="center"/>
          </w:tcPr>
          <w:p w:rsidR="00DD291D" w:rsidRPr="002A1EB2" w:rsidRDefault="00DD291D" w:rsidP="00DD291D">
            <w:pPr>
              <w:jc w:val="center"/>
              <w:rPr>
                <w:b/>
                <w:sz w:val="24"/>
              </w:rPr>
            </w:pPr>
            <w:proofErr w:type="spellStart"/>
            <w:r w:rsidRPr="002A1EB2">
              <w:rPr>
                <w:b/>
                <w:sz w:val="24"/>
              </w:rPr>
              <w:t>SolveMe</w:t>
            </w:r>
            <w:proofErr w:type="spellEnd"/>
            <w:r w:rsidRPr="002A1EB2">
              <w:rPr>
                <w:b/>
                <w:sz w:val="24"/>
              </w:rPr>
              <w:t xml:space="preserve"> Who Am I?</w:t>
            </w:r>
          </w:p>
        </w:tc>
        <w:tc>
          <w:tcPr>
            <w:tcW w:w="1996" w:type="dxa"/>
            <w:vAlign w:val="center"/>
          </w:tcPr>
          <w:p w:rsidR="00DD291D" w:rsidRDefault="007A7E53" w:rsidP="00DD291D">
            <w:pPr>
              <w:jc w:val="center"/>
            </w:pPr>
            <w:hyperlink r:id="rId35" w:history="1">
              <w:r w:rsidR="00DD291D" w:rsidRPr="007B2E1B">
                <w:rPr>
                  <w:rStyle w:val="Hyperlink"/>
                </w:rPr>
                <w:t>https://solveme.edc.org/whoami/</w:t>
              </w:r>
            </w:hyperlink>
          </w:p>
        </w:tc>
        <w:tc>
          <w:tcPr>
            <w:tcW w:w="6930" w:type="dxa"/>
            <w:vAlign w:val="center"/>
          </w:tcPr>
          <w:p w:rsidR="00DD291D" w:rsidRDefault="00DD291D" w:rsidP="00DD291D">
            <w:pPr>
              <w:jc w:val="center"/>
            </w:pPr>
            <w:r>
              <w:t>Students are given number riddles and they must find a number that meets all the criteria. The first few puzzles are general place value, however they quickly progress into exponents.</w:t>
            </w:r>
          </w:p>
        </w:tc>
        <w:tc>
          <w:tcPr>
            <w:tcW w:w="540" w:type="dxa"/>
            <w:vAlign w:val="center"/>
          </w:tcPr>
          <w:p w:rsidR="00DD291D" w:rsidRDefault="00DD291D" w:rsidP="00DD291D">
            <w:pPr>
              <w:jc w:val="center"/>
            </w:pPr>
            <w:r w:rsidRPr="008836CE">
              <w:rPr>
                <w:sz w:val="48"/>
              </w:rPr>
              <w:sym w:font="Wingdings" w:char="F0FC"/>
            </w:r>
          </w:p>
        </w:tc>
        <w:tc>
          <w:tcPr>
            <w:tcW w:w="540" w:type="dxa"/>
            <w:vAlign w:val="center"/>
          </w:tcPr>
          <w:p w:rsidR="00DD291D" w:rsidRDefault="00DD291D" w:rsidP="00DD291D">
            <w:pPr>
              <w:jc w:val="center"/>
            </w:pPr>
            <w:r w:rsidRPr="008836CE">
              <w:rPr>
                <w:sz w:val="48"/>
              </w:rPr>
              <w:sym w:font="Wingdings" w:char="F0FC"/>
            </w:r>
          </w:p>
        </w:tc>
        <w:tc>
          <w:tcPr>
            <w:tcW w:w="622" w:type="dxa"/>
            <w:vAlign w:val="center"/>
          </w:tcPr>
          <w:p w:rsidR="00DD291D" w:rsidRDefault="00DD291D" w:rsidP="00DD291D">
            <w:pPr>
              <w:jc w:val="center"/>
            </w:pPr>
            <w:r w:rsidRPr="008836CE">
              <w:rPr>
                <w:sz w:val="48"/>
              </w:rPr>
              <w:sym w:font="Wingdings" w:char="F0FC"/>
            </w:r>
          </w:p>
        </w:tc>
      </w:tr>
    </w:tbl>
    <w:p w:rsidR="008836CE" w:rsidRDefault="008836CE" w:rsidP="002A1EB2">
      <w:pPr>
        <w:spacing w:after="0" w:line="240" w:lineRule="auto"/>
      </w:pPr>
    </w:p>
    <w:sectPr w:rsidR="008836CE" w:rsidSect="008836CE">
      <w:headerReference w:type="default" r:id="rId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53" w:rsidRDefault="007A7E53" w:rsidP="00B674C8">
      <w:pPr>
        <w:spacing w:after="0" w:line="240" w:lineRule="auto"/>
      </w:pPr>
      <w:r>
        <w:separator/>
      </w:r>
    </w:p>
  </w:endnote>
  <w:endnote w:type="continuationSeparator" w:id="0">
    <w:p w:rsidR="007A7E53" w:rsidRDefault="007A7E53" w:rsidP="00B6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53" w:rsidRDefault="007A7E53" w:rsidP="00B674C8">
      <w:pPr>
        <w:spacing w:after="0" w:line="240" w:lineRule="auto"/>
      </w:pPr>
      <w:r>
        <w:separator/>
      </w:r>
    </w:p>
  </w:footnote>
  <w:footnote w:type="continuationSeparator" w:id="0">
    <w:p w:rsidR="007A7E53" w:rsidRDefault="007A7E53" w:rsidP="00B6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C8" w:rsidRPr="00B674C8" w:rsidRDefault="00B674C8" w:rsidP="00B674C8">
    <w:pPr>
      <w:spacing w:after="0" w:line="240" w:lineRule="auto"/>
      <w:jc w:val="center"/>
      <w:rPr>
        <w:b/>
        <w:sz w:val="40"/>
      </w:rPr>
    </w:pPr>
    <w:r w:rsidRPr="00B674C8">
      <w:rPr>
        <w:b/>
        <w:sz w:val="40"/>
      </w:rPr>
      <w:t>Math Resources to Support Instruction</w:t>
    </w:r>
  </w:p>
  <w:p w:rsidR="00B674C8" w:rsidRPr="00232B1B" w:rsidRDefault="00B674C8" w:rsidP="00B674C8">
    <w:pPr>
      <w:spacing w:after="0" w:line="240" w:lineRule="auto"/>
      <w:jc w:val="center"/>
      <w:rPr>
        <w:sz w:val="18"/>
      </w:rPr>
    </w:pPr>
    <w:r w:rsidRPr="00232B1B">
      <w:rPr>
        <w:sz w:val="18"/>
      </w:rPr>
      <w:t xml:space="preserve">Below are a list of resources that may be beneficial for your classroom instruction. As with any resource, consider how the Standards for Mathematical Practice could be incorporated.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31B68"/>
    <w:multiLevelType w:val="hybridMultilevel"/>
    <w:tmpl w:val="408EF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B84DED"/>
    <w:multiLevelType w:val="hybridMultilevel"/>
    <w:tmpl w:val="86780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CE"/>
    <w:rsid w:val="000836FE"/>
    <w:rsid w:val="0012095D"/>
    <w:rsid w:val="00172B5F"/>
    <w:rsid w:val="00232B1B"/>
    <w:rsid w:val="00245DA0"/>
    <w:rsid w:val="00286FCB"/>
    <w:rsid w:val="002A1EB2"/>
    <w:rsid w:val="00322964"/>
    <w:rsid w:val="00331114"/>
    <w:rsid w:val="003B660E"/>
    <w:rsid w:val="003E7662"/>
    <w:rsid w:val="00406140"/>
    <w:rsid w:val="004560AA"/>
    <w:rsid w:val="00505A52"/>
    <w:rsid w:val="00546EE0"/>
    <w:rsid w:val="005B1393"/>
    <w:rsid w:val="005D348C"/>
    <w:rsid w:val="00680101"/>
    <w:rsid w:val="00697CE7"/>
    <w:rsid w:val="00741C3B"/>
    <w:rsid w:val="007517F3"/>
    <w:rsid w:val="0077209C"/>
    <w:rsid w:val="007A7E53"/>
    <w:rsid w:val="008836CE"/>
    <w:rsid w:val="00887255"/>
    <w:rsid w:val="008E18C4"/>
    <w:rsid w:val="0091719A"/>
    <w:rsid w:val="009E3481"/>
    <w:rsid w:val="00AB6278"/>
    <w:rsid w:val="00AE6CBD"/>
    <w:rsid w:val="00B13B9F"/>
    <w:rsid w:val="00B14C82"/>
    <w:rsid w:val="00B23457"/>
    <w:rsid w:val="00B674C8"/>
    <w:rsid w:val="00B70120"/>
    <w:rsid w:val="00B862EF"/>
    <w:rsid w:val="00B94AED"/>
    <w:rsid w:val="00BB2E97"/>
    <w:rsid w:val="00BE676A"/>
    <w:rsid w:val="00C5024D"/>
    <w:rsid w:val="00C64E06"/>
    <w:rsid w:val="00C677FD"/>
    <w:rsid w:val="00D1518D"/>
    <w:rsid w:val="00DC4881"/>
    <w:rsid w:val="00DD291D"/>
    <w:rsid w:val="00DD352C"/>
    <w:rsid w:val="00E06DDC"/>
    <w:rsid w:val="00E9171B"/>
    <w:rsid w:val="00F43CBF"/>
    <w:rsid w:val="00F44622"/>
    <w:rsid w:val="00FC40A9"/>
    <w:rsid w:val="00FD7A96"/>
    <w:rsid w:val="00FF20AE"/>
    <w:rsid w:val="00FF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C1A70-CE9D-43DA-AC83-768126E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6CE"/>
    <w:rPr>
      <w:color w:val="0563C1" w:themeColor="hyperlink"/>
      <w:u w:val="single"/>
    </w:rPr>
  </w:style>
  <w:style w:type="paragraph" w:styleId="ListParagraph">
    <w:name w:val="List Paragraph"/>
    <w:basedOn w:val="Normal"/>
    <w:uiPriority w:val="34"/>
    <w:qFormat/>
    <w:rsid w:val="00DC4881"/>
    <w:pPr>
      <w:spacing w:after="0" w:line="240" w:lineRule="auto"/>
      <w:ind w:left="720"/>
    </w:pPr>
    <w:rPr>
      <w:rFonts w:ascii="Calibri" w:hAnsi="Calibri" w:cs="Calibri"/>
    </w:rPr>
  </w:style>
  <w:style w:type="paragraph" w:styleId="Header">
    <w:name w:val="header"/>
    <w:basedOn w:val="Normal"/>
    <w:link w:val="HeaderChar"/>
    <w:uiPriority w:val="99"/>
    <w:unhideWhenUsed/>
    <w:rsid w:val="00B67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C8"/>
  </w:style>
  <w:style w:type="paragraph" w:styleId="Footer">
    <w:name w:val="footer"/>
    <w:basedOn w:val="Normal"/>
    <w:link w:val="FooterChar"/>
    <w:uiPriority w:val="99"/>
    <w:unhideWhenUsed/>
    <w:rsid w:val="00B67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C8"/>
  </w:style>
  <w:style w:type="character" w:styleId="FollowedHyperlink">
    <w:name w:val="FollowedHyperlink"/>
    <w:basedOn w:val="DefaultParagraphFont"/>
    <w:uiPriority w:val="99"/>
    <w:semiHidden/>
    <w:unhideWhenUsed/>
    <w:rsid w:val="00E06DDC"/>
    <w:rPr>
      <w:color w:val="954F72" w:themeColor="followedHyperlink"/>
      <w:u w:val="single"/>
    </w:rPr>
  </w:style>
  <w:style w:type="paragraph" w:styleId="BalloonText">
    <w:name w:val="Balloon Text"/>
    <w:basedOn w:val="Normal"/>
    <w:link w:val="BalloonTextChar"/>
    <w:uiPriority w:val="99"/>
    <w:semiHidden/>
    <w:unhideWhenUsed/>
    <w:rsid w:val="00DD2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546309">
      <w:bodyDiv w:val="1"/>
      <w:marLeft w:val="0"/>
      <w:marRight w:val="0"/>
      <w:marTop w:val="0"/>
      <w:marBottom w:val="0"/>
      <w:divBdr>
        <w:top w:val="none" w:sz="0" w:space="0" w:color="auto"/>
        <w:left w:val="none" w:sz="0" w:space="0" w:color="auto"/>
        <w:bottom w:val="none" w:sz="0" w:space="0" w:color="auto"/>
        <w:right w:val="none" w:sz="0" w:space="0" w:color="auto"/>
      </w:divBdr>
    </w:div>
    <w:div w:id="19697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imation180.com/lessons.html" TargetMode="External"/><Relationship Id="rId13" Type="http://schemas.openxmlformats.org/officeDocument/2006/relationships/hyperlink" Target="https://achievethecore.org/page/1118/coherence-map" TargetMode="External"/><Relationship Id="rId18" Type="http://schemas.openxmlformats.org/officeDocument/2006/relationships/hyperlink" Target="https://hcpss.instructure.com/courses/1609" TargetMode="External"/><Relationship Id="rId26" Type="http://schemas.openxmlformats.org/officeDocument/2006/relationships/hyperlink" Target="http://www.stevewyborney.com/?p=893" TargetMode="External"/><Relationship Id="rId3" Type="http://schemas.openxmlformats.org/officeDocument/2006/relationships/styles" Target="styles.xml"/><Relationship Id="rId21" Type="http://schemas.openxmlformats.org/officeDocument/2006/relationships/hyperlink" Target="http://www.estimation180.com/" TargetMode="External"/><Relationship Id="rId34" Type="http://schemas.openxmlformats.org/officeDocument/2006/relationships/hyperlink" Target="https://solveme.edc.org/mysterygrid/" TargetMode="External"/><Relationship Id="rId7" Type="http://schemas.openxmlformats.org/officeDocument/2006/relationships/endnotes" Target="endnotes.xml"/><Relationship Id="rId12" Type="http://schemas.openxmlformats.org/officeDocument/2006/relationships/hyperlink" Target="http://robertkaplinsky.com/lessons/" TargetMode="External"/><Relationship Id="rId17" Type="http://schemas.openxmlformats.org/officeDocument/2006/relationships/hyperlink" Target="http://mathpractices.edc.org/browse-by-mps.html" TargetMode="External"/><Relationship Id="rId25" Type="http://schemas.openxmlformats.org/officeDocument/2006/relationships/hyperlink" Target="https://samedifferentimages.wordpress.com/" TargetMode="External"/><Relationship Id="rId33" Type="http://schemas.openxmlformats.org/officeDocument/2006/relationships/hyperlink" Target="https://solveme.edc.org/mobil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llustrativemathematics.org/" TargetMode="External"/><Relationship Id="rId20" Type="http://schemas.openxmlformats.org/officeDocument/2006/relationships/hyperlink" Target="http://www.collaborativemathematics.org/" TargetMode="External"/><Relationship Id="rId29" Type="http://schemas.openxmlformats.org/officeDocument/2006/relationships/hyperlink" Target="http://wod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kewiernicki.com/3-act-tasks/" TargetMode="External"/><Relationship Id="rId24" Type="http://schemas.openxmlformats.org/officeDocument/2006/relationships/hyperlink" Target="http://www.openmiddle.com/" TargetMode="External"/><Relationship Id="rId32" Type="http://schemas.openxmlformats.org/officeDocument/2006/relationships/hyperlink" Target="http://www.bbc.co.uk/bitesize/ks1/math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cpss.instructure.com/courses/1609" TargetMode="External"/><Relationship Id="rId23" Type="http://schemas.openxmlformats.org/officeDocument/2006/relationships/hyperlink" Target="http://graphingstories.com/" TargetMode="External"/><Relationship Id="rId28" Type="http://schemas.openxmlformats.org/officeDocument/2006/relationships/hyperlink" Target="http://www.visualpatterns.org/" TargetMode="External"/><Relationship Id="rId36" Type="http://schemas.openxmlformats.org/officeDocument/2006/relationships/header" Target="header1.xml"/><Relationship Id="rId10" Type="http://schemas.openxmlformats.org/officeDocument/2006/relationships/hyperlink" Target="https://gfletchy.com/3-act-lessons/" TargetMode="External"/><Relationship Id="rId19" Type="http://schemas.openxmlformats.org/officeDocument/2006/relationships/hyperlink" Target="http://ime.math.arizona.edu/progressions/" TargetMode="External"/><Relationship Id="rId31" Type="http://schemas.openxmlformats.org/officeDocument/2006/relationships/hyperlink" Target="http://www.4nums.com/" TargetMode="External"/><Relationship Id="rId4" Type="http://schemas.openxmlformats.org/officeDocument/2006/relationships/settings" Target="settings.xml"/><Relationship Id="rId9" Type="http://schemas.openxmlformats.org/officeDocument/2006/relationships/hyperlink" Target="https://docs.google.com/spreadsheets/d/1jXSt_CoDzyDFeJimZxnhgwOVsWkTQEsfqouLWNNC6Z4/edit" TargetMode="External"/><Relationship Id="rId14" Type="http://schemas.openxmlformats.org/officeDocument/2006/relationships/hyperlink" Target="https://www.georgiastandards.org/Georgia-Standards/Pages/Math.aspx" TargetMode="External"/><Relationship Id="rId22" Type="http://schemas.openxmlformats.org/officeDocument/2006/relationships/hyperlink" Target="https://trends.google.com/trends/" TargetMode="External"/><Relationship Id="rId27" Type="http://schemas.openxmlformats.org/officeDocument/2006/relationships/hyperlink" Target="https://ed.ted.com/lessons?content_type=originals&amp;category=mathematics&amp;direction=desc&amp;sort=publish-date" TargetMode="External"/><Relationship Id="rId30" Type="http://schemas.openxmlformats.org/officeDocument/2006/relationships/hyperlink" Target="http://www.wouldyourathermath.com/" TargetMode="External"/><Relationship Id="rId35" Type="http://schemas.openxmlformats.org/officeDocument/2006/relationships/hyperlink" Target="https://solveme.edc.org/who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5DE9-E44A-4C7F-AAD5-460502B4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Breedlove, Kathryn</dc:creator>
  <cp:keywords/>
  <dc:description/>
  <cp:lastModifiedBy>Kirschner, Margaret</cp:lastModifiedBy>
  <cp:revision>2</cp:revision>
  <cp:lastPrinted>2018-03-26T16:06:00Z</cp:lastPrinted>
  <dcterms:created xsi:type="dcterms:W3CDTF">2018-11-13T17:13:00Z</dcterms:created>
  <dcterms:modified xsi:type="dcterms:W3CDTF">2018-11-13T17:13:00Z</dcterms:modified>
</cp:coreProperties>
</file>